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rPr>
          <w:rFonts w:ascii="仿宋" w:hAnsi="仿宋" w:eastAsia="仿宋"/>
          <w:color w:val="000000" w:themeColor="text1"/>
          <w14:textFill>
            <w14:solidFill>
              <w14:schemeClr w14:val="tx1"/>
            </w14:solidFill>
          </w14:textFill>
        </w:rPr>
      </w:pPr>
      <w:bookmarkStart w:id="16" w:name="_GoBack"/>
      <w:bookmarkEnd w:id="16"/>
    </w:p>
    <w:p>
      <w:pPr>
        <w:pStyle w:val="24"/>
        <w:jc w:val="center"/>
        <w:rPr>
          <w:rFonts w:ascii="仿宋" w:hAnsi="仿宋" w:eastAsia="仿宋"/>
          <w:b/>
          <w:bCs/>
          <w:color w:val="000000" w:themeColor="text1"/>
          <w:spacing w:val="-20"/>
          <w:sz w:val="56"/>
          <w:szCs w:val="56"/>
          <w14:textFill>
            <w14:solidFill>
              <w14:schemeClr w14:val="tx1"/>
            </w14:solidFill>
          </w14:textFill>
        </w:rPr>
      </w:pPr>
      <w:r>
        <w:rPr>
          <w:rFonts w:hint="eastAsia" w:ascii="仿宋" w:hAnsi="仿宋" w:eastAsia="仿宋"/>
          <w:b/>
          <w:bCs/>
          <w:color w:val="000000" w:themeColor="text1"/>
          <w:spacing w:val="-57"/>
          <w:sz w:val="56"/>
          <w:szCs w:val="56"/>
          <w14:textFill>
            <w14:solidFill>
              <w14:schemeClr w14:val="tx1"/>
            </w14:solidFill>
          </w14:textFill>
        </w:rPr>
        <w:t>四川成渝高速公路股份有限公司成渝分公司成都</w:t>
      </w:r>
      <w:r>
        <w:rPr>
          <w:rFonts w:hint="eastAsia" w:ascii="仿宋" w:hAnsi="仿宋" w:eastAsia="仿宋"/>
          <w:b/>
          <w:bCs/>
          <w:color w:val="000000" w:themeColor="text1"/>
          <w:spacing w:val="-20"/>
          <w:sz w:val="56"/>
          <w:szCs w:val="56"/>
          <w14:textFill>
            <w14:solidFill>
              <w14:schemeClr w14:val="tx1"/>
            </w14:solidFill>
          </w14:textFill>
        </w:rPr>
        <w:t>管理处车辆定点维修保养服务项目</w:t>
      </w:r>
    </w:p>
    <w:p>
      <w:pPr>
        <w:pStyle w:val="24"/>
        <w:rPr>
          <w:rFonts w:ascii="仿宋" w:hAnsi="仿宋" w:eastAsia="仿宋"/>
          <w:color w:val="000000" w:themeColor="text1"/>
          <w:spacing w:val="-20"/>
          <w14:textFill>
            <w14:solidFill>
              <w14:schemeClr w14:val="tx1"/>
            </w14:solidFill>
          </w14:textFill>
        </w:rPr>
      </w:pPr>
      <w:r>
        <w:rPr>
          <w:rFonts w:hint="eastAsia" w:ascii="仿宋" w:hAnsi="仿宋" w:eastAsia="仿宋"/>
          <w:color w:val="000000" w:themeColor="text1"/>
          <w:spacing w:val="-20"/>
          <w14:textFill>
            <w14:solidFill>
              <w14:schemeClr w14:val="tx1"/>
            </w14:solidFill>
          </w14:textFill>
        </w:rPr>
        <w:t xml:space="preserve"> </w:t>
      </w:r>
    </w:p>
    <w:p>
      <w:pPr>
        <w:pStyle w:val="24"/>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比</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选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文</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件</w:t>
      </w:r>
    </w:p>
    <w:p>
      <w:pPr>
        <w:pStyle w:val="21"/>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 xml:space="preserve"> </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400" w:lineRule="exact"/>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比选人：四川成渝高速公里股份有限公司成渝分公司</w:t>
      </w:r>
    </w:p>
    <w:p>
      <w:pPr>
        <w:spacing w:line="400" w:lineRule="exact"/>
        <w:jc w:val="center"/>
        <w:rPr>
          <w:color w:val="000000" w:themeColor="text1"/>
          <w14:textFill>
            <w14:solidFill>
              <w14:schemeClr w14:val="tx1"/>
            </w14:solidFill>
          </w14:textFill>
        </w:rPr>
        <w:sectPr>
          <w:pgSz w:w="11907" w:h="16840"/>
          <w:pgMar w:top="1418" w:right="1467" w:bottom="1418" w:left="1560" w:header="851" w:footer="992" w:gutter="0"/>
          <w:pgNumType w:fmt="numberInDash"/>
          <w:cols w:space="720" w:num="1"/>
          <w:docGrid w:type="lines" w:linePitch="312" w:charSpace="0"/>
        </w:sectPr>
      </w:pPr>
      <w:r>
        <w:rPr>
          <w:rFonts w:hint="eastAsia" w:ascii="仿宋" w:hAnsi="仿宋" w:eastAsia="仿宋"/>
          <w:b/>
          <w:color w:val="000000" w:themeColor="text1"/>
          <w:sz w:val="30"/>
          <w:szCs w:val="30"/>
          <w14:textFill>
            <w14:solidFill>
              <w14:schemeClr w14:val="tx1"/>
            </w14:solidFill>
          </w14:textFill>
        </w:rPr>
        <w:t>2023</w:t>
      </w:r>
      <w:r>
        <w:rPr>
          <w:rFonts w:hint="eastAsia" w:ascii="仿宋" w:hAnsi="仿宋" w:eastAsia="仿宋"/>
          <w:b/>
          <w:bCs/>
          <w:color w:val="000000" w:themeColor="text1"/>
          <w:sz w:val="32"/>
          <w:szCs w:val="32"/>
          <w14:textFill>
            <w14:solidFill>
              <w14:schemeClr w14:val="tx1"/>
            </w14:solidFill>
          </w14:textFill>
        </w:rPr>
        <w:t>年06月</w:t>
      </w:r>
    </w:p>
    <w:p>
      <w:pPr>
        <w:pStyle w:val="4"/>
        <w:snapToGrid w:val="0"/>
        <w:spacing w:before="312" w:beforeLines="100" w:after="312" w:afterLines="100"/>
        <w:rPr>
          <w:rFonts w:ascii="仿宋" w:hAnsi="仿宋" w:eastAsia="仿宋"/>
          <w:bCs w:val="0"/>
          <w:color w:val="000000" w:themeColor="text1"/>
          <w14:textFill>
            <w14:solidFill>
              <w14:schemeClr w14:val="tx1"/>
            </w14:solidFill>
          </w14:textFill>
        </w:rPr>
      </w:pPr>
      <w:bookmarkStart w:id="0" w:name="_Toc477957400"/>
      <w:bookmarkEnd w:id="0"/>
    </w:p>
    <w:p>
      <w:pPr>
        <w:pStyle w:val="4"/>
        <w:snapToGrid w:val="0"/>
        <w:spacing w:before="312" w:beforeLines="100" w:after="312" w:afterLines="100"/>
        <w:jc w:val="center"/>
        <w:rPr>
          <w:rFonts w:ascii="仿宋" w:hAnsi="仿宋" w:eastAsia="仿宋"/>
          <w:bCs w:val="0"/>
          <w:color w:val="000000" w:themeColor="text1"/>
          <w14:textFill>
            <w14:solidFill>
              <w14:schemeClr w14:val="tx1"/>
            </w14:solidFill>
          </w14:textFill>
        </w:rPr>
      </w:pPr>
      <w:r>
        <w:rPr>
          <w:rFonts w:hint="eastAsia" w:ascii="仿宋" w:hAnsi="仿宋" w:eastAsia="仿宋"/>
          <w:bCs w:val="0"/>
          <w:color w:val="000000" w:themeColor="text1"/>
          <w14:textFill>
            <w14:solidFill>
              <w14:schemeClr w14:val="tx1"/>
            </w14:solidFill>
          </w14:textFill>
        </w:rPr>
        <w:t>目   录</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pStyle w:val="12"/>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"1-1" \h \u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"_Toc13729" </w:instrText>
      </w:r>
      <w:r>
        <w:fldChar w:fldCharType="separate"/>
      </w:r>
      <w:r>
        <w:rPr>
          <w:rFonts w:hint="eastAsia" w:ascii="宋体" w:hAnsi="宋体" w:cs="宋体"/>
          <w:color w:val="000000" w:themeColor="text1"/>
          <w:sz w:val="28"/>
          <w:szCs w:val="28"/>
          <w14:textFill>
            <w14:solidFill>
              <w14:schemeClr w14:val="tx1"/>
            </w14:solidFill>
          </w14:textFill>
        </w:rPr>
        <w:t>第一章 比选公告</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1</w:t>
      </w:r>
    </w:p>
    <w:p>
      <w:pPr>
        <w:pStyle w:val="12"/>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"_Toc968" </w:instrText>
      </w:r>
      <w:r>
        <w:fldChar w:fldCharType="separate"/>
      </w:r>
      <w:r>
        <w:rPr>
          <w:rFonts w:hint="eastAsia" w:ascii="宋体" w:hAnsi="宋体" w:cs="宋体"/>
          <w:color w:val="000000" w:themeColor="text1"/>
          <w:sz w:val="28"/>
          <w:szCs w:val="28"/>
          <w14:textFill>
            <w14:solidFill>
              <w14:schemeClr w14:val="tx1"/>
            </w14:solidFill>
          </w14:textFill>
        </w:rPr>
        <w:t>第二章 比选申请人须知</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6</w:t>
      </w:r>
    </w:p>
    <w:p>
      <w:pPr>
        <w:pStyle w:val="12"/>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"_Toc15146" </w:instrText>
      </w:r>
      <w:r>
        <w:fldChar w:fldCharType="separate"/>
      </w:r>
      <w:r>
        <w:rPr>
          <w:rFonts w:hint="eastAsia" w:ascii="宋体" w:hAnsi="宋体" w:cs="宋体"/>
          <w:bCs/>
          <w:color w:val="000000" w:themeColor="text1"/>
          <w:sz w:val="28"/>
          <w:szCs w:val="28"/>
          <w14:textFill>
            <w14:solidFill>
              <w14:schemeClr w14:val="tx1"/>
            </w14:solidFill>
          </w14:textFill>
        </w:rPr>
        <w:t>第三章 评标办法</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1</w:t>
      </w:r>
    </w:p>
    <w:p>
      <w:pPr>
        <w:pStyle w:val="12"/>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"_Toc17326" </w:instrText>
      </w:r>
      <w:r>
        <w:fldChar w:fldCharType="separate"/>
      </w:r>
      <w:r>
        <w:rPr>
          <w:rFonts w:hint="eastAsia" w:ascii="宋体" w:hAnsi="宋体" w:cs="宋体"/>
          <w:color w:val="000000" w:themeColor="text1"/>
          <w:sz w:val="28"/>
          <w:szCs w:val="28"/>
          <w14:textFill>
            <w14:solidFill>
              <w14:schemeClr w14:val="tx1"/>
            </w14:solidFill>
          </w14:textFill>
        </w:rPr>
        <w:t xml:space="preserve">第四章 </w:t>
      </w:r>
      <w:r>
        <w:rPr>
          <w:rFonts w:hint="eastAsia" w:ascii="宋体" w:hAnsi="宋体" w:cs="宋体"/>
          <w:color w:val="000000" w:themeColor="text1"/>
          <w:sz w:val="28"/>
          <w:szCs w:val="28"/>
          <w:lang w:val="en-US" w:eastAsia="zh-CN"/>
          <w14:textFill>
            <w14:solidFill>
              <w14:schemeClr w14:val="tx1"/>
            </w14:solidFill>
          </w14:textFill>
        </w:rPr>
        <w:t>车辆维修清单</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5</w:t>
      </w:r>
    </w:p>
    <w:p>
      <w:pPr>
        <w:pStyle w:val="12"/>
        <w:tabs>
          <w:tab w:val="right" w:leader="dot" w:pos="7981"/>
        </w:tabs>
        <w:rPr>
          <w:rFonts w:hint="eastAsia" w:ascii="宋体" w:hAnsi="宋体" w:eastAsia="宋体" w:cs="宋体"/>
          <w:color w:val="000000" w:themeColor="text1"/>
          <w:sz w:val="28"/>
          <w:szCs w:val="28"/>
          <w:lang w:val="en-US" w:eastAsia="zh-CN"/>
          <w14:textFill>
            <w14:solidFill>
              <w14:schemeClr w14:val="tx1"/>
            </w14:solidFill>
          </w14:textFill>
        </w:rPr>
      </w:pPr>
      <w:r>
        <w:fldChar w:fldCharType="begin"/>
      </w:r>
      <w:r>
        <w:instrText xml:space="preserve"> HYPERLINK \l "_Toc8596" </w:instrText>
      </w:r>
      <w:r>
        <w:fldChar w:fldCharType="separate"/>
      </w:r>
      <w:r>
        <w:rPr>
          <w:rFonts w:hint="eastAsia" w:ascii="宋体" w:hAnsi="宋体" w:cs="宋体"/>
          <w:color w:val="000000" w:themeColor="text1"/>
          <w:sz w:val="28"/>
          <w:szCs w:val="28"/>
          <w14:textFill>
            <w14:solidFill>
              <w14:schemeClr w14:val="tx1"/>
            </w14:solidFill>
          </w14:textFill>
        </w:rPr>
        <w:t>第五章 投标文件格式</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lang w:val="en-US" w:eastAsia="zh-CN"/>
          <w14:textFill>
            <w14:solidFill>
              <w14:schemeClr w14:val="tx1"/>
            </w14:solidFill>
          </w14:textFill>
        </w:rPr>
        <w:t>4</w:t>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2</w:t>
      </w:r>
    </w:p>
    <w:p>
      <w:pPr>
        <w:pStyle w:val="12"/>
        <w:tabs>
          <w:tab w:val="right" w:leader="dot" w:pos="7981"/>
        </w:tabs>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bCs w:val="0"/>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"1-1" \h \u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"_Toc13729" </w:instrText>
      </w:r>
      <w:r>
        <w:fldChar w:fldCharType="separate"/>
      </w:r>
      <w:r>
        <w:rPr>
          <w:rFonts w:hint="eastAsia" w:ascii="宋体" w:hAnsi="宋体" w:cs="宋体"/>
          <w:color w:val="000000" w:themeColor="text1"/>
          <w:sz w:val="28"/>
          <w:szCs w:val="28"/>
          <w14:textFill>
            <w14:solidFill>
              <w14:schemeClr w14:val="tx1"/>
            </w14:solidFill>
          </w14:textFill>
        </w:rPr>
        <w:t>第</w:t>
      </w:r>
      <w:r>
        <w:rPr>
          <w:rFonts w:hint="eastAsia" w:ascii="宋体" w:hAnsi="宋体" w:cs="宋体"/>
          <w:color w:val="000000" w:themeColor="text1"/>
          <w:sz w:val="28"/>
          <w:szCs w:val="28"/>
          <w:lang w:val="en-US" w:eastAsia="zh-CN"/>
          <w14:textFill>
            <w14:solidFill>
              <w14:schemeClr w14:val="tx1"/>
            </w14:solidFill>
          </w14:textFill>
        </w:rPr>
        <w:t>六</w:t>
      </w:r>
      <w:r>
        <w:rPr>
          <w:rFonts w:hint="eastAsia" w:ascii="宋体" w:hAnsi="宋体" w:cs="宋体"/>
          <w:color w:val="000000" w:themeColor="text1"/>
          <w:sz w:val="28"/>
          <w:szCs w:val="28"/>
          <w14:textFill>
            <w14:solidFill>
              <w14:schemeClr w14:val="tx1"/>
            </w14:solidFill>
          </w14:textFill>
        </w:rPr>
        <w:t>章 合同协议书（含廉政合同）</w:t>
      </w:r>
      <w:r>
        <w:rPr>
          <w:rFonts w:hint="eastAsia" w:ascii="宋体" w:hAnsi="宋体" w:cs="宋体"/>
          <w:color w:val="000000" w:themeColor="text1"/>
          <w:sz w:val="28"/>
          <w:szCs w:val="28"/>
          <w14:textFill>
            <w14:solidFill>
              <w14:schemeClr w14:val="tx1"/>
            </w14:solidFill>
          </w14:textFill>
        </w:rPr>
        <w:tab/>
      </w:r>
      <w:r>
        <w:rPr>
          <w:rFonts w:hint="eastAsia" w:ascii="宋体" w:hAnsi="宋体" w:cs="宋体"/>
          <w:color w:val="000000" w:themeColor="text1"/>
          <w:sz w:val="28"/>
          <w:szCs w:val="28"/>
          <w14:textFill>
            <w14:solidFill>
              <w14:schemeClr w14:val="tx1"/>
            </w14:solidFill>
          </w14:textFill>
        </w:rPr>
        <w:fldChar w:fldCharType="end"/>
      </w:r>
      <w:r>
        <w:rPr>
          <w:rFonts w:hint="eastAsia" w:ascii="宋体" w:hAnsi="宋体" w:cs="宋体"/>
          <w:color w:val="000000" w:themeColor="text1"/>
          <w:sz w:val="28"/>
          <w:szCs w:val="28"/>
          <w:lang w:val="en-US" w:eastAsia="zh-CN"/>
          <w14:textFill>
            <w14:solidFill>
              <w14:schemeClr w14:val="tx1"/>
            </w14:solidFill>
          </w14:textFill>
        </w:rPr>
        <w:t>73</w:t>
      </w:r>
    </w:p>
    <w:p>
      <w:pPr>
        <w:widowControl/>
        <w:jc w:val="left"/>
        <w:rPr>
          <w:rFonts w:ascii="仿宋" w:hAnsi="仿宋" w:eastAsia="仿宋" w:cs="宋体"/>
          <w:color w:val="000000" w:themeColor="text1"/>
          <w14:textFill>
            <w14:solidFill>
              <w14:schemeClr w14:val="tx1"/>
            </w14:solidFill>
          </w14:textFill>
        </w:rPr>
        <w:sectPr>
          <w:footerReference r:id="rId5" w:type="default"/>
          <w:pgSz w:w="11906" w:h="16838"/>
          <w:pgMar w:top="1440" w:right="2125" w:bottom="1440" w:left="1800" w:header="851" w:footer="992" w:gutter="0"/>
          <w:pgNumType w:fmt="numberInDash" w:start="1"/>
          <w:cols w:space="720" w:num="1"/>
          <w:docGrid w:type="lines" w:linePitch="312" w:charSpace="0"/>
        </w:sectPr>
      </w:pPr>
      <w:r>
        <w:rPr>
          <w:rFonts w:hint="eastAsia" w:ascii="宋体" w:hAnsi="宋体" w:cs="宋体"/>
          <w:bCs w:val="0"/>
          <w:color w:val="000000" w:themeColor="text1"/>
          <w:sz w:val="28"/>
          <w:szCs w:val="28"/>
          <w14:textFill>
            <w14:solidFill>
              <w14:schemeClr w14:val="tx1"/>
            </w14:solidFill>
          </w14:textFill>
        </w:rPr>
        <w:fldChar w:fldCharType="end"/>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bookmarkStart w:id="1" w:name="_Toc477957401"/>
      <w:bookmarkEnd w:id="1"/>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方正小标宋简体" w:eastAsia="方正小标宋简体"/>
          <w:b w:val="0"/>
          <w:bCs w:val="0"/>
          <w:color w:val="000000" w:themeColor="text1"/>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 xml:space="preserve"> </w:t>
      </w:r>
    </w:p>
    <w:p>
      <w:pPr>
        <w:pStyle w:val="4"/>
        <w:snapToGrid w:val="0"/>
        <w:spacing w:before="312" w:beforeLines="100" w:after="312" w:afterLines="100"/>
        <w:jc w:val="center"/>
        <w:rPr>
          <w:rFonts w:ascii="仿宋" w:hAnsi="仿宋" w:eastAsia="仿宋"/>
          <w:b w:val="0"/>
          <w:bCs w:val="0"/>
          <w:color w:val="000000" w:themeColor="text1"/>
          <w:sz w:val="32"/>
          <w:szCs w:val="32"/>
          <w14:textFill>
            <w14:solidFill>
              <w14:schemeClr w14:val="tx1"/>
            </w14:solidFill>
          </w14:textFill>
        </w:rPr>
      </w:pPr>
      <w:r>
        <w:rPr>
          <w:rFonts w:hint="eastAsia" w:ascii="方正小标宋简体" w:eastAsia="方正小标宋简体"/>
          <w:b w:val="0"/>
          <w:bCs w:val="0"/>
          <w:color w:val="000000" w:themeColor="text1"/>
          <w14:textFill>
            <w14:solidFill>
              <w14:schemeClr w14:val="tx1"/>
            </w14:solidFill>
          </w14:textFill>
        </w:rPr>
        <w:t>第一章 比选公告</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45"/>
          <w:sz w:val="44"/>
          <w:szCs w:val="44"/>
          <w14:textFill>
            <w14:solidFill>
              <w14:schemeClr w14:val="tx1"/>
            </w14:solidFill>
          </w14:textFill>
        </w:rPr>
      </w:pPr>
      <w:r>
        <w:rPr>
          <w:rFonts w:hint="eastAsia" w:ascii="方正小标宋简体" w:eastAsia="方正小标宋简体"/>
          <w:color w:val="000000" w:themeColor="text1"/>
          <w:spacing w:val="-45"/>
          <w:sz w:val="44"/>
          <w:szCs w:val="44"/>
          <w14:textFill>
            <w14:solidFill>
              <w14:schemeClr w14:val="tx1"/>
            </w14:solidFill>
          </w14:textFill>
        </w:rPr>
        <w:t xml:space="preserve">  </w:t>
      </w: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sectPr>
          <w:footerReference r:id="rId6" w:type="default"/>
          <w:pgSz w:w="11906" w:h="16838"/>
          <w:pgMar w:top="1440" w:right="2125" w:bottom="1440" w:left="1800" w:header="851" w:footer="992" w:gutter="0"/>
          <w:pgNumType w:fmt="numberInDash" w:start="1"/>
          <w:cols w:space="720" w:num="1"/>
          <w:docGrid w:type="lines" w:linePitch="312" w:charSpace="0"/>
        </w:sectPr>
      </w:pP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pPr>
      <w:r>
        <w:rPr>
          <w:rFonts w:hint="eastAsia" w:ascii="方正小标宋简体" w:eastAsia="方正小标宋简体"/>
          <w:color w:val="000000" w:themeColor="text1"/>
          <w:spacing w:val="-17"/>
          <w:sz w:val="44"/>
          <w:szCs w:val="44"/>
          <w14:textFill>
            <w14:solidFill>
              <w14:schemeClr w14:val="tx1"/>
            </w14:solidFill>
          </w14:textFill>
        </w:rPr>
        <w:t>四川成渝高速公路股份有限公司成渝分公司</w:t>
      </w:r>
    </w:p>
    <w:p>
      <w:pPr>
        <w:spacing w:line="360" w:lineRule="auto"/>
        <w:jc w:val="center"/>
        <w:rPr>
          <w:rFonts w:ascii="方正小标宋简体" w:eastAsia="方正小标宋简体"/>
          <w:color w:val="000000" w:themeColor="text1"/>
          <w:spacing w:val="-17"/>
          <w:sz w:val="44"/>
          <w:szCs w:val="44"/>
          <w14:textFill>
            <w14:solidFill>
              <w14:schemeClr w14:val="tx1"/>
            </w14:solidFill>
          </w14:textFill>
        </w:rPr>
      </w:pPr>
      <w:r>
        <w:rPr>
          <w:rFonts w:hint="eastAsia" w:ascii="方正小标宋简体" w:eastAsia="方正小标宋简体"/>
          <w:color w:val="000000" w:themeColor="text1"/>
          <w:spacing w:val="-17"/>
          <w:sz w:val="44"/>
          <w:szCs w:val="44"/>
          <w14:textFill>
            <w14:solidFill>
              <w14:schemeClr w14:val="tx1"/>
            </w14:solidFill>
          </w14:textFill>
        </w:rPr>
        <w:t>成都管理处车辆定点维修保养服务项目比选公告</w:t>
      </w:r>
    </w:p>
    <w:p>
      <w:pPr>
        <w:spacing w:line="360" w:lineRule="auto"/>
        <w:ind w:firstLine="960" w:firstLineChars="3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1.招标条件</w:t>
      </w:r>
    </w:p>
    <w:p>
      <w:pPr>
        <w:pStyle w:val="13"/>
        <w:shd w:val="clear" w:color="auto" w:fill="FFFFFF"/>
        <w:spacing w:before="0" w:beforeAutospacing="0" w:after="0" w:afterAutospacing="0" w:line="360" w:lineRule="auto"/>
        <w:ind w:firstLine="420"/>
        <w:jc w:val="both"/>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“四川成渝高速公路股份有限公司成渝分公司成都管理处</w:t>
      </w:r>
      <w:r>
        <w:rPr>
          <w:rFonts w:hint="eastAsia" w:ascii="仿宋" w:hAnsi="仿宋" w:eastAsia="仿宋" w:cs="仿宋"/>
          <w:bCs/>
          <w:color w:val="000000" w:themeColor="text1"/>
          <w:sz w:val="24"/>
          <w:szCs w:val="24"/>
          <w14:textFill>
            <w14:solidFill>
              <w14:schemeClr w14:val="tx1"/>
            </w14:solidFill>
          </w14:textFill>
        </w:rPr>
        <w:t>（下称</w:t>
      </w:r>
      <w:r>
        <w:rPr>
          <w:rFonts w:hint="eastAsia" w:ascii="仿宋" w:hAnsi="仿宋" w:eastAsia="仿宋" w:cs="仿宋"/>
          <w:color w:val="000000" w:themeColor="text1"/>
          <w:sz w:val="24"/>
          <w:szCs w:val="24"/>
          <w14:textFill>
            <w14:solidFill>
              <w14:schemeClr w14:val="tx1"/>
            </w14:solidFill>
          </w14:textFill>
        </w:rPr>
        <w:t>“成渝分公司成都管理处”</w:t>
      </w:r>
      <w:r>
        <w:rPr>
          <w:rFonts w:hint="eastAsia" w:ascii="仿宋" w:hAnsi="仿宋" w:eastAsia="仿宋" w:cs="仿宋"/>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车辆定点维修保养服务项目”已由四川成渝高速公路股份有限公司成渝分公司（以下简称成渝分公司）批准实施，由成渝分公司作为招标人和项目业主。现已具备比选条件，诚邀符合资格条件的潜在申请人参与本项目的比选。</w:t>
      </w:r>
    </w:p>
    <w:p>
      <w:pPr>
        <w:pStyle w:val="13"/>
        <w:shd w:val="clear" w:color="auto" w:fill="FFFFFF"/>
        <w:autoSpaceDE w:val="0"/>
        <w:spacing w:before="0" w:beforeAutospacing="0" w:after="0" w:afterAutospacing="0" w:line="360" w:lineRule="auto"/>
        <w:ind w:firstLine="482" w:firstLineChars="200"/>
        <w:jc w:val="both"/>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2.项目概况与招标范围</w:t>
      </w:r>
    </w:p>
    <w:p>
      <w:pPr>
        <w:pStyle w:val="13"/>
        <w:shd w:val="clear" w:color="auto" w:fill="FFFFFF"/>
        <w:autoSpaceDE w:val="0"/>
        <w:spacing w:before="0" w:beforeAutospacing="0" w:after="0" w:afterAutospacing="0" w:line="360" w:lineRule="auto"/>
        <w:ind w:firstLine="482" w:firstLineChars="200"/>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2.1项目概况：</w:t>
      </w:r>
      <w:r>
        <w:rPr>
          <w:rFonts w:hint="eastAsia" w:ascii="仿宋" w:hAnsi="仿宋" w:eastAsia="仿宋" w:cs="仿宋"/>
          <w:color w:val="000000" w:themeColor="text1"/>
          <w:sz w:val="24"/>
          <w:szCs w:val="24"/>
          <w14:textFill>
            <w14:solidFill>
              <w14:schemeClr w14:val="tx1"/>
            </w14:solidFill>
          </w14:textFill>
        </w:rPr>
        <w:t>成渝分公司成都管理处车辆维修保养服务共涉及</w:t>
      </w:r>
      <w:r>
        <w:rPr>
          <w:rFonts w:hint="eastAsia" w:ascii="仿宋_GB2312" w:hAnsi="仿宋_GB2312" w:eastAsia="仿宋_GB2312" w:cs="仿宋_GB2312"/>
          <w:color w:val="000000" w:themeColor="text1"/>
          <w:sz w:val="24"/>
          <w:szCs w:val="24"/>
          <w14:textFill>
            <w14:solidFill>
              <w14:schemeClr w14:val="tx1"/>
            </w14:solidFill>
          </w14:textFill>
        </w:rPr>
        <w:t>重（中）型专项作业车、</w:t>
      </w:r>
      <w:r>
        <w:rPr>
          <w:rFonts w:hint="eastAsia" w:ascii="仿宋" w:hAnsi="仿宋" w:eastAsia="仿宋" w:cs="仿宋"/>
          <w:color w:val="000000" w:themeColor="text1"/>
          <w:sz w:val="24"/>
          <w:szCs w:val="24"/>
          <w14:textFill>
            <w14:solidFill>
              <w14:schemeClr w14:val="tx1"/>
            </w14:solidFill>
          </w14:textFill>
        </w:rPr>
        <w:t>轻型货车、中（大）型普通客车等多种车型，为维护日常安全生产秩序，保证车辆运行状态良好，针对车辆品牌多样性、配件专用性等自身特点，成渝分公司成都管理处拟将本单位车辆维修保养服务委托专业维修单位按要求进行日常保养、故障抢修等。</w:t>
      </w:r>
    </w:p>
    <w:p>
      <w:pPr>
        <w:pStyle w:val="13"/>
        <w:shd w:val="clear" w:color="auto" w:fill="FFFFFF"/>
        <w:spacing w:before="0" w:beforeAutospacing="0" w:after="0" w:afterAutospacing="0" w:line="360" w:lineRule="auto"/>
        <w:ind w:firstLine="482" w:firstLineChars="20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2.2招标范围：</w:t>
      </w:r>
      <w:r>
        <w:rPr>
          <w:rFonts w:hint="eastAsia" w:ascii="仿宋" w:hAnsi="仿宋" w:eastAsia="仿宋" w:cs="仿宋"/>
          <w:color w:val="000000" w:themeColor="text1"/>
          <w:sz w:val="24"/>
          <w14:textFill>
            <w14:solidFill>
              <w14:schemeClr w14:val="tx1"/>
            </w14:solidFill>
          </w14:textFill>
        </w:rPr>
        <w:t>本次为</w:t>
      </w:r>
      <w:r>
        <w:rPr>
          <w:rFonts w:hint="eastAsia" w:ascii="仿宋" w:hAnsi="仿宋" w:eastAsia="仿宋" w:cs="仿宋"/>
          <w:color w:val="000000" w:themeColor="text1"/>
          <w:sz w:val="24"/>
          <w:szCs w:val="24"/>
          <w14:textFill>
            <w14:solidFill>
              <w14:schemeClr w14:val="tx1"/>
            </w14:solidFill>
          </w14:textFill>
        </w:rPr>
        <w:t>成渝分公司成都管理处</w:t>
      </w:r>
      <w:r>
        <w:rPr>
          <w:rFonts w:hint="eastAsia" w:ascii="仿宋" w:hAnsi="仿宋" w:eastAsia="仿宋" w:cs="仿宋"/>
          <w:color w:val="000000" w:themeColor="text1"/>
          <w:sz w:val="24"/>
          <w14:textFill>
            <w14:solidFill>
              <w14:schemeClr w14:val="tx1"/>
            </w14:solidFill>
          </w14:textFill>
        </w:rPr>
        <w:t>服务项目招标</w:t>
      </w:r>
      <w:r>
        <w:rPr>
          <w:rFonts w:hint="eastAsia" w:ascii="仿宋" w:hAnsi="仿宋" w:eastAsia="仿宋" w:cs="仿宋"/>
          <w:color w:val="000000" w:themeColor="text1"/>
          <w:sz w:val="24"/>
          <w:lang w:eastAsia="zh-CN"/>
          <w14:textFill>
            <w14:solidFill>
              <w14:schemeClr w14:val="tx1"/>
            </w14:solidFill>
          </w14:textFill>
        </w:rPr>
        <w:t>，</w:t>
      </w:r>
      <w:r>
        <w:rPr>
          <w:rFonts w:hint="eastAsia" w:ascii="仿宋" w:hAnsi="仿宋" w:eastAsia="仿宋" w:cs="仿宋"/>
          <w:color w:val="000000" w:themeColor="text1"/>
          <w:sz w:val="24"/>
          <w14:textFill>
            <w14:solidFill>
              <w14:schemeClr w14:val="tx1"/>
            </w14:solidFill>
          </w14:textFill>
        </w:rPr>
        <w:t>主要服务内容为龙泉片区12辆车（包括轻型普通货车、中型专业作业车、中型普通客车、大型普通客车、重型专业作业车）的日常保养、二级保养、日常维修、故障抢险以及合同条款中约定的其他服务内容（合同期限内如新增</w:t>
      </w:r>
      <w:r>
        <w:rPr>
          <w:rFonts w:hint="eastAsia" w:ascii="仿宋" w:hAnsi="仿宋" w:eastAsia="仿宋" w:cs="仿宋"/>
          <w:color w:val="000000" w:themeColor="text1"/>
          <w:sz w:val="24"/>
          <w:szCs w:val="24"/>
          <w14:textFill>
            <w14:solidFill>
              <w14:schemeClr w14:val="tx1"/>
            </w14:solidFill>
          </w14:textFill>
        </w:rPr>
        <w:t>车辆为合同中约定车型，按合同清单计量结算，如超出合同约定</w:t>
      </w:r>
      <w:r>
        <w:rPr>
          <w:rFonts w:hint="eastAsia" w:ascii="仿宋" w:hAnsi="仿宋" w:eastAsia="仿宋" w:cs="仿宋"/>
          <w:color w:val="000000" w:themeColor="text1"/>
          <w:sz w:val="24"/>
          <w14:textFill>
            <w14:solidFill>
              <w14:schemeClr w14:val="tx1"/>
            </w14:solidFill>
          </w14:textFill>
        </w:rPr>
        <w:t>车型，由比选人告知中标人，就新增车辆维修保养单价进行报价申请）。</w:t>
      </w:r>
    </w:p>
    <w:p>
      <w:pPr>
        <w:pStyle w:val="13"/>
        <w:shd w:val="clear" w:color="auto" w:fill="FFFFFF"/>
        <w:spacing w:before="0" w:beforeAutospacing="0" w:after="0" w:afterAutospacing="0" w:line="360" w:lineRule="auto"/>
        <w:ind w:firstLine="480" w:firstLineChars="200"/>
        <w:jc w:val="both"/>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本项目共</w:t>
      </w:r>
      <w:r>
        <w:rPr>
          <w:rFonts w:hint="eastAsia" w:ascii="仿宋" w:hAnsi="仿宋" w:eastAsia="仿宋" w:cs="仿宋"/>
          <w:color w:val="000000" w:themeColor="text1"/>
          <w:sz w:val="24"/>
          <w:lang w:val="en-US" w:eastAsia="zh-CN"/>
          <w14:textFill>
            <w14:solidFill>
              <w14:schemeClr w14:val="tx1"/>
            </w14:solidFill>
          </w14:textFill>
        </w:rPr>
        <w:t>1</w:t>
      </w:r>
      <w:r>
        <w:rPr>
          <w:rFonts w:hint="eastAsia" w:ascii="仿宋" w:hAnsi="仿宋" w:eastAsia="仿宋" w:cs="仿宋"/>
          <w:color w:val="000000" w:themeColor="text1"/>
          <w:sz w:val="24"/>
          <w14:textFill>
            <w14:solidFill>
              <w14:schemeClr w14:val="tx1"/>
            </w14:solidFill>
          </w14:textFill>
        </w:rPr>
        <w:t>个标段，具体内容如下：</w:t>
      </w:r>
    </w:p>
    <w:p>
      <w:pPr>
        <w:pStyle w:val="13"/>
        <w:shd w:val="clear" w:color="auto" w:fill="FFFFFF"/>
        <w:spacing w:before="0" w:beforeAutospacing="0" w:after="0" w:afterAutospacing="0" w:line="360" w:lineRule="auto"/>
        <w:ind w:firstLine="480" w:firstLineChars="200"/>
        <w:jc w:val="both"/>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CDGLC-LQCL标段：成渝高速公路成都处</w:t>
      </w:r>
      <w:r>
        <w:rPr>
          <w:rFonts w:hint="eastAsia" w:ascii="仿宋" w:hAnsi="仿宋" w:eastAsia="仿宋" w:cs="仿宋"/>
          <w:b/>
          <w:bCs/>
          <w:color w:val="000000" w:themeColor="text1"/>
          <w:sz w:val="24"/>
          <w:u w:val="single"/>
          <w14:textFill>
            <w14:solidFill>
              <w14:schemeClr w14:val="tx1"/>
            </w14:solidFill>
          </w14:textFill>
        </w:rPr>
        <w:t>龙泉片区</w:t>
      </w:r>
      <w:r>
        <w:rPr>
          <w:rFonts w:hint="eastAsia" w:ascii="仿宋" w:hAnsi="仿宋" w:eastAsia="仿宋" w:cs="仿宋"/>
          <w:color w:val="000000" w:themeColor="text1"/>
          <w:sz w:val="24"/>
          <w14:textFill>
            <w14:solidFill>
              <w14:schemeClr w14:val="tx1"/>
            </w14:solidFill>
          </w14:textFill>
        </w:rPr>
        <w:t>车辆定点维修保养</w:t>
      </w:r>
      <w:r>
        <w:rPr>
          <w:rFonts w:hint="eastAsia" w:ascii="仿宋" w:hAnsi="仿宋" w:eastAsia="仿宋" w:cs="仿宋"/>
          <w:color w:val="000000" w:themeColor="text1"/>
          <w:sz w:val="24"/>
          <w:lang w:eastAsia="zh-CN"/>
          <w14:textFill>
            <w14:solidFill>
              <w14:schemeClr w14:val="tx1"/>
            </w14:solidFill>
          </w14:textFill>
        </w:rPr>
        <w:t>。</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2.3服务周期：</w:t>
      </w:r>
      <w:r>
        <w:rPr>
          <w:rFonts w:hint="eastAsia" w:ascii="仿宋" w:hAnsi="仿宋" w:eastAsia="仿宋" w:cs="仿宋"/>
          <w:color w:val="000000" w:themeColor="text1"/>
          <w14:textFill>
            <w14:solidFill>
              <w14:schemeClr w14:val="tx1"/>
            </w14:solidFill>
          </w14:textFill>
        </w:rPr>
        <w:t>招标期限12个月，具体期限以签订服务协议日期为准。</w:t>
      </w:r>
    </w:p>
    <w:p>
      <w:pPr>
        <w:pStyle w:val="13"/>
        <w:shd w:val="clear" w:color="auto" w:fill="FFFFFF"/>
        <w:autoSpaceDE w:val="0"/>
        <w:spacing w:before="0" w:beforeAutospacing="0" w:after="0" w:afterAutospacing="0" w:line="360" w:lineRule="auto"/>
        <w:ind w:firstLine="482" w:firstLineChars="200"/>
        <w:jc w:val="both"/>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3.比选申请人资格要求</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3.1本次招标要求比选申请人须具有：</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资格要求：持有有效的营业执照、基本账户开户许可证或基本用户信息表</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资质要求：具备道路运输经营许可证一类经营范围整车维修；</w:t>
      </w:r>
    </w:p>
    <w:p>
      <w:pPr>
        <w:spacing w:line="360" w:lineRule="auto"/>
        <w:ind w:firstLine="480" w:firstLineChars="200"/>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3.2该项目不接受联合体投标，不允许转包或违法分包。</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3.3与比选人存在利害关系可能影响招标公正性的单位，不得参加投标。单位负责人为同一人或者存在控股、管理关系的不同比选申请人，不得参加同一标段投标，否则相关投标均无效。</w:t>
      </w:r>
    </w:p>
    <w:p>
      <w:pPr>
        <w:pStyle w:val="28"/>
        <w:ind w:firstLine="482"/>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4.评标办法</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本次招标采用资格后审、单信封形式，评标采用经评审最低投标价法。</w:t>
      </w:r>
    </w:p>
    <w:p>
      <w:pPr>
        <w:pStyle w:val="28"/>
        <w:ind w:firstLine="482"/>
        <w:rPr>
          <w:rFonts w:ascii="仿宋" w:hAnsi="仿宋" w:eastAsia="仿宋" w:cs="仿宋"/>
          <w:b/>
          <w:bCs/>
          <w:color w:val="000000" w:themeColor="text1"/>
          <w14:textFill>
            <w14:solidFill>
              <w14:schemeClr w14:val="tx1"/>
            </w14:solidFill>
          </w14:textFill>
        </w:rPr>
      </w:pPr>
      <w:r>
        <w:rPr>
          <w:rFonts w:hint="eastAsia" w:ascii="仿宋" w:hAnsi="仿宋" w:eastAsia="仿宋" w:cs="仿宋"/>
          <w:b/>
          <w:bCs/>
          <w:color w:val="000000" w:themeColor="text1"/>
          <w14:textFill>
            <w14:solidFill>
              <w14:schemeClr w14:val="tx1"/>
            </w14:solidFill>
          </w14:textFill>
        </w:rPr>
        <w:t>5.获得比选文件的办法、时间、地点</w:t>
      </w:r>
    </w:p>
    <w:p>
      <w:pPr>
        <w:pStyle w:val="28"/>
        <w:ind w:firstLine="480"/>
        <w:rPr>
          <w:rFonts w:ascii="仿宋" w:hAnsi="仿宋" w:eastAsia="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5.1.</w:t>
      </w:r>
      <w:r>
        <w:rPr>
          <w:rFonts w:hint="eastAsia" w:ascii="仿宋" w:hAnsi="仿宋" w:eastAsia="仿宋" w:cs="仿宋"/>
          <w:color w:val="000000" w:themeColor="text1"/>
          <w:highlight w:val="none"/>
          <w:lang w:val="en-US" w:eastAsia="zh-CN"/>
          <w14:textFill>
            <w14:solidFill>
              <w14:schemeClr w14:val="tx1"/>
            </w14:solidFill>
          </w14:textFill>
        </w:rPr>
        <w:t>于2023年6月30日开始在四川成渝高速公路股份有限公司成渝分公司网站（www.sccygs.com）“招标公告”栏上免费匿名下载比选文件，比选人不提供其他任何报名和比选文件获取的方式。</w:t>
      </w:r>
    </w:p>
    <w:p>
      <w:pPr>
        <w:spacing w:line="360" w:lineRule="auto"/>
        <w:ind w:firstLine="480" w:firstLineChars="200"/>
        <w:rPr>
          <w:rFonts w:ascii="仿宋_GB2312" w:eastAsia="仿宋_GB2312"/>
          <w:color w:val="000000" w:themeColor="text1"/>
          <w:sz w:val="22"/>
          <w:szCs w:val="22"/>
          <w:shd w:val="clear" w:color="auto" w:fill="FFFFFF"/>
          <w14:textFill>
            <w14:solidFill>
              <w14:schemeClr w14:val="tx1"/>
            </w14:solidFill>
          </w14:textFill>
        </w:rPr>
      </w:pPr>
      <w:r>
        <w:rPr>
          <w:rFonts w:hint="eastAsia" w:ascii="仿宋_GB2312" w:eastAsia="仿宋_GB2312"/>
          <w:color w:val="000000" w:themeColor="text1"/>
          <w:sz w:val="24"/>
          <w:szCs w:val="24"/>
          <w:shd w:val="clear" w:color="auto" w:fill="FFFFFF"/>
          <w14:textFill>
            <w14:solidFill>
              <w14:schemeClr w14:val="tx1"/>
            </w14:solidFill>
          </w14:textFill>
        </w:rPr>
        <w:t xml:space="preserve">5.2. </w:t>
      </w:r>
      <w:r>
        <w:rPr>
          <w:rFonts w:hint="eastAsia" w:ascii="仿宋_GB2312" w:eastAsia="仿宋_GB2312"/>
          <w:color w:val="000000" w:themeColor="text1"/>
          <w:sz w:val="22"/>
          <w:szCs w:val="22"/>
          <w:shd w:val="clear" w:color="auto" w:fill="FFFFFF"/>
          <w14:textFill>
            <w14:solidFill>
              <w14:schemeClr w14:val="tx1"/>
            </w14:solidFill>
          </w14:textFill>
        </w:rPr>
        <w:t>比选文件补遗书（如果有）、通知书（如果有）及相关公告：通过成渝分公司网站（www.sccygs.com）进行公告。比选申请人应注意网站公告发出情况。</w:t>
      </w:r>
    </w:p>
    <w:p>
      <w:pPr>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6.</w:t>
      </w:r>
      <w:r>
        <w:rPr>
          <w:rStyle w:val="17"/>
          <w:rFonts w:hint="eastAsia" w:ascii="仿宋" w:hAnsi="仿宋" w:eastAsia="仿宋"/>
          <w:b/>
          <w:bCs/>
          <w:color w:val="000000" w:themeColor="text1"/>
          <w:sz w:val="24"/>
          <w:szCs w:val="24"/>
          <w:lang w:val="en-US" w:eastAsia="zh-CN"/>
          <w14:textFill>
            <w14:solidFill>
              <w14:schemeClr w14:val="tx1"/>
            </w14:solidFill>
          </w14:textFill>
        </w:rPr>
        <w:t>比选</w:t>
      </w:r>
      <w:r>
        <w:rPr>
          <w:rFonts w:hint="eastAsia" w:ascii="仿宋" w:hAnsi="仿宋" w:eastAsia="仿宋"/>
          <w:b/>
          <w:bCs/>
          <w:color w:val="000000" w:themeColor="text1"/>
          <w:sz w:val="24"/>
          <w:szCs w:val="24"/>
          <w:lang w:val="en-US" w:eastAsia="zh-CN"/>
          <w14:textFill>
            <w14:solidFill>
              <w14:schemeClr w14:val="tx1"/>
            </w14:solidFill>
          </w14:textFill>
        </w:rPr>
        <w:t>申请文件</w:t>
      </w:r>
      <w:r>
        <w:rPr>
          <w:rFonts w:hint="eastAsia" w:ascii="仿宋" w:hAnsi="仿宋" w:eastAsia="仿宋"/>
          <w:b/>
          <w:bCs/>
          <w:color w:val="000000" w:themeColor="text1"/>
          <w:sz w:val="24"/>
          <w:szCs w:val="24"/>
          <w14:textFill>
            <w14:solidFill>
              <w14:schemeClr w14:val="tx1"/>
            </w14:solidFill>
          </w14:textFill>
        </w:rPr>
        <w:t>递交及相关事宜</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6.1现场踏勘及投标预备会议</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现场踏勘：比选人不组织，由比选申请人自行组织前往，比选申请人自行负责考察过程中的交通、安全以及相关费用。</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投标预备会议时间：比选人不召开投标预备会。</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6.2比选申请文件的递交</w:t>
      </w:r>
    </w:p>
    <w:p>
      <w:pPr>
        <w:spacing w:line="360" w:lineRule="auto"/>
        <w:ind w:firstLine="480" w:firstLineChars="200"/>
        <w:rPr>
          <w:rFonts w:hint="eastAsia" w:ascii="仿宋" w:hAnsi="仿宋" w:eastAsia="仿宋"/>
          <w:color w:val="000000" w:themeColor="text1"/>
          <w:sz w:val="24"/>
          <w:szCs w:val="24"/>
          <w:shd w:val="clear" w:color="auto" w:fill="auto"/>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比选申请文件送交的时间为2023年</w:t>
      </w:r>
      <w:r>
        <w:rPr>
          <w:rFonts w:hint="eastAsia" w:ascii="仿宋" w:hAnsi="仿宋" w:eastAsia="仿宋"/>
          <w:color w:val="000000" w:themeColor="text1"/>
          <w:sz w:val="24"/>
          <w:szCs w:val="24"/>
          <w:shd w:val="clear" w:color="auto" w:fill="auto"/>
          <w:lang w:eastAsia="zh-CN"/>
          <w14:textFill>
            <w14:solidFill>
              <w14:schemeClr w14:val="tx1"/>
            </w14:solidFill>
          </w14:textFill>
        </w:rPr>
        <w:t>7</w:t>
      </w:r>
      <w:r>
        <w:rPr>
          <w:rFonts w:hint="eastAsia" w:ascii="仿宋" w:hAnsi="仿宋" w:eastAsia="仿宋"/>
          <w:color w:val="000000" w:themeColor="text1"/>
          <w:sz w:val="24"/>
          <w:szCs w:val="24"/>
          <w:shd w:val="clear" w:color="auto" w:fill="auto"/>
          <w14:textFill>
            <w14:solidFill>
              <w14:schemeClr w14:val="tx1"/>
            </w14:solidFill>
          </w14:textFill>
        </w:rPr>
        <w:t>月</w:t>
      </w:r>
      <w:r>
        <w:rPr>
          <w:rFonts w:hint="eastAsia" w:ascii="仿宋" w:hAnsi="仿宋" w:eastAsia="仿宋"/>
          <w:color w:val="000000" w:themeColor="text1"/>
          <w:sz w:val="24"/>
          <w:szCs w:val="24"/>
          <w:shd w:val="clear" w:color="auto" w:fill="auto"/>
          <w:lang w:eastAsia="zh-CN"/>
          <w14:textFill>
            <w14:solidFill>
              <w14:schemeClr w14:val="tx1"/>
            </w14:solidFill>
          </w14:textFill>
        </w:rPr>
        <w:t>4</w:t>
      </w:r>
      <w:r>
        <w:rPr>
          <w:rFonts w:hint="eastAsia" w:ascii="仿宋" w:hAnsi="仿宋" w:eastAsia="仿宋"/>
          <w:color w:val="000000" w:themeColor="text1"/>
          <w:sz w:val="24"/>
          <w:szCs w:val="24"/>
          <w:shd w:val="clear" w:color="auto" w:fill="auto"/>
          <w14:textFill>
            <w14:solidFill>
              <w14:schemeClr w14:val="tx1"/>
            </w14:solidFill>
          </w14:textFill>
        </w:rPr>
        <w:t>日上午9:15～9:30时（北京时间），截止时间为2023年</w:t>
      </w:r>
      <w:r>
        <w:rPr>
          <w:rFonts w:hint="eastAsia" w:ascii="仿宋" w:hAnsi="仿宋" w:eastAsia="仿宋"/>
          <w:color w:val="000000" w:themeColor="text1"/>
          <w:sz w:val="24"/>
          <w:szCs w:val="24"/>
          <w:shd w:val="clear" w:color="auto" w:fill="auto"/>
          <w:lang w:eastAsia="zh-CN"/>
          <w14:textFill>
            <w14:solidFill>
              <w14:schemeClr w14:val="tx1"/>
            </w14:solidFill>
          </w14:textFill>
        </w:rPr>
        <w:t>7</w:t>
      </w:r>
      <w:r>
        <w:rPr>
          <w:rFonts w:hint="eastAsia" w:ascii="仿宋" w:hAnsi="仿宋" w:eastAsia="仿宋"/>
          <w:color w:val="000000" w:themeColor="text1"/>
          <w:sz w:val="24"/>
          <w:szCs w:val="24"/>
          <w:shd w:val="clear" w:color="auto" w:fill="auto"/>
          <w14:textFill>
            <w14:solidFill>
              <w14:schemeClr w14:val="tx1"/>
            </w14:solidFill>
          </w14:textFill>
        </w:rPr>
        <w:t>月</w:t>
      </w:r>
      <w:r>
        <w:rPr>
          <w:rFonts w:hint="eastAsia" w:ascii="仿宋" w:hAnsi="仿宋" w:eastAsia="仿宋"/>
          <w:color w:val="000000" w:themeColor="text1"/>
          <w:sz w:val="24"/>
          <w:szCs w:val="24"/>
          <w:shd w:val="clear" w:color="auto" w:fill="auto"/>
          <w:lang w:eastAsia="zh-CN"/>
          <w14:textFill>
            <w14:solidFill>
              <w14:schemeClr w14:val="tx1"/>
            </w14:solidFill>
          </w14:textFill>
        </w:rPr>
        <w:t>4</w:t>
      </w:r>
      <w:r>
        <w:rPr>
          <w:rFonts w:hint="eastAsia" w:ascii="仿宋" w:hAnsi="仿宋" w:eastAsia="仿宋"/>
          <w:color w:val="000000" w:themeColor="text1"/>
          <w:sz w:val="24"/>
          <w:szCs w:val="24"/>
          <w:shd w:val="clear" w:color="auto" w:fill="auto"/>
          <w14:textFill>
            <w14:solidFill>
              <w14:schemeClr w14:val="tx1"/>
            </w14:solidFill>
          </w14:textFill>
        </w:rPr>
        <w:t>日上午9:30时（北京时间），比选申请人必须将按要求密封完好的比选申请文件以面交方式送达比选人指定地点：四川成渝高速公路股份有限公司成渝分公司成都管理处220会议室，比选人定于比选申请文件送交截止时间的同一时间、同一地点举行公开开标，比选申请人应派代表出席签认开标结果。</w:t>
      </w:r>
    </w:p>
    <w:p>
      <w:pPr>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shd w:val="clear" w:color="auto" w:fill="auto"/>
          <w14:textFill>
            <w14:solidFill>
              <w14:schemeClr w14:val="tx1"/>
            </w14:solidFill>
          </w14:textFill>
        </w:rPr>
        <w:t>6.3逾期未送达及未送达指定地点</w:t>
      </w:r>
      <w:r>
        <w:rPr>
          <w:rFonts w:hint="eastAsia" w:ascii="仿宋" w:hAnsi="仿宋" w:eastAsia="仿宋"/>
          <w:color w:val="000000" w:themeColor="text1"/>
          <w:sz w:val="24"/>
          <w:szCs w:val="24"/>
          <w14:textFill>
            <w14:solidFill>
              <w14:schemeClr w14:val="tx1"/>
            </w14:solidFill>
          </w14:textFill>
        </w:rPr>
        <w:t>的或未按要求密封比选申请文件，比选人不予受理。</w:t>
      </w:r>
    </w:p>
    <w:p>
      <w:pPr>
        <w:autoSpaceDE w:val="0"/>
        <w:spacing w:line="360" w:lineRule="auto"/>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7.中标候选人公示</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将在评标结束后3日内，将中标候选人在四川成渝高速公路股份有限公司成渝分公司网站（www.sccygs.com）上公示3个工作日以接受社会公开监督。比选申请人或者其他利害关系人对评标结果有异议的，应当在中标候选人公示期间提出。</w:t>
      </w:r>
    </w:p>
    <w:p>
      <w:pPr>
        <w:autoSpaceDE/>
        <w:spacing w:line="360" w:lineRule="auto"/>
        <w:ind w:firstLine="482" w:firstLineChars="200"/>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8.联系方式</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比选人：四川成渝高速公路股份有限公司成渝分公司</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通讯地址：四川成渝高速公路股份有限公司成渝分公司成都管理处</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联系人：邓女士</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联系电话：13709083512</w:t>
      </w:r>
    </w:p>
    <w:p>
      <w:pPr>
        <w:autoSpaceDE/>
        <w:spacing w:line="360" w:lineRule="auto"/>
        <w:ind w:firstLine="482" w:firstLineChars="200"/>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9.社会监督</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招标工作将公开接受社会监督。</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    址：四川省成都市成华区迎晖路8号</w:t>
      </w:r>
    </w:p>
    <w:p>
      <w:pPr>
        <w:autoSpaceDE/>
        <w:spacing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电    话：028-84082262</w:t>
      </w:r>
    </w:p>
    <w:p>
      <w:pPr>
        <w:autoSpaceDE/>
        <w:spacing w:line="360" w:lineRule="auto"/>
        <w:ind w:firstLine="480" w:firstLineChars="200"/>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邮政编码：610000                                   </w:t>
      </w:r>
    </w:p>
    <w:p>
      <w:pPr>
        <w:autoSpaceDE/>
        <w:spacing w:line="360" w:lineRule="auto"/>
        <w:ind w:firstLine="480"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比选人：四川成渝高速公路股份有限公司成渝分公司</w:t>
      </w:r>
    </w:p>
    <w:p>
      <w:pPr>
        <w:pStyle w:val="6"/>
        <w:autoSpaceDE w:val="0"/>
        <w:spacing w:line="360" w:lineRule="exact"/>
        <w:ind w:firstLine="4320" w:firstLineChars="1800"/>
        <w:rPr>
          <w:rFonts w:ascii="仿宋" w:hAnsi="仿宋" w:eastAsia="仿宋"/>
          <w:b/>
          <w:bCs/>
          <w:color w:val="000000" w:themeColor="text1"/>
          <w:kern w:val="44"/>
          <w:sz w:val="44"/>
          <w:szCs w:val="44"/>
          <w14:textFill>
            <w14:solidFill>
              <w14:schemeClr w14:val="tx1"/>
            </w14:solidFill>
          </w14:textFill>
        </w:rPr>
      </w:pPr>
      <w:r>
        <w:rPr>
          <w:rFonts w:hint="eastAsia" w:ascii="仿宋" w:hAnsi="仿宋" w:eastAsia="仿宋"/>
          <w:color w:val="000000" w:themeColor="text1"/>
          <w14:textFill>
            <w14:solidFill>
              <w14:schemeClr w14:val="tx1"/>
            </w14:solidFill>
          </w14:textFill>
        </w:rPr>
        <w:t>2023年6月</w:t>
      </w:r>
      <w:r>
        <w:rPr>
          <w:rFonts w:hint="eastAsia" w:ascii="仿宋" w:hAnsi="仿宋" w:eastAsia="仿宋"/>
          <w:color w:val="000000" w:themeColor="text1"/>
          <w:lang w:eastAsia="zh-CN"/>
          <w14:textFill>
            <w14:solidFill>
              <w14:schemeClr w14:val="tx1"/>
            </w14:solidFill>
          </w14:textFill>
        </w:rPr>
        <w:t>3</w:t>
      </w:r>
      <w:r>
        <w:rPr>
          <w:rFonts w:hint="eastAsia" w:ascii="仿宋" w:hAnsi="仿宋" w:eastAsia="仿宋"/>
          <w:color w:val="000000" w:themeColor="text1"/>
          <w:lang w:val="en-US" w:eastAsia="zh-CN"/>
          <w14:textFill>
            <w14:solidFill>
              <w14:schemeClr w14:val="tx1"/>
            </w14:solidFill>
          </w14:textFill>
        </w:rPr>
        <w:t>0</w:t>
      </w:r>
      <w:r>
        <w:rPr>
          <w:rFonts w:hint="eastAsia" w:ascii="仿宋" w:hAnsi="仿宋" w:eastAsia="仿宋"/>
          <w:color w:val="000000" w:themeColor="text1"/>
          <w14:textFill>
            <w14:solidFill>
              <w14:schemeClr w14:val="tx1"/>
            </w14:solidFill>
          </w14:textFill>
        </w:rPr>
        <w:t>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bookmarkStart w:id="2" w:name="_Toc477957402"/>
      <w:bookmarkEnd w:id="2"/>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rPr>
          <w:rFonts w:ascii="方正小标宋简体" w:eastAsia="方正小标宋简体"/>
          <w:color w:val="000000" w:themeColor="text1"/>
          <w:sz w:val="44"/>
          <w:szCs w:val="44"/>
          <w14:textFill>
            <w14:solidFill>
              <w14:schemeClr w14:val="tx1"/>
            </w14:solidFill>
          </w14:textFill>
        </w:rPr>
      </w:pPr>
      <w:r>
        <w:rPr>
          <w:rFonts w:hint="eastAsia"/>
          <w:color w:val="000000" w:themeColor="text1"/>
          <w14:textFill>
            <w14:solidFill>
              <w14:schemeClr w14:val="tx1"/>
            </w14:solidFill>
          </w14:textFill>
        </w:rPr>
        <w:t xml:space="preserve"> </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 xml:space="preserve"> </w:t>
      </w:r>
    </w:p>
    <w:p>
      <w:pPr>
        <w:jc w:val="center"/>
        <w:rPr>
          <w:rFonts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 xml:space="preserve"> </w:t>
      </w:r>
    </w:p>
    <w:p>
      <w:pPr>
        <w:pStyle w:val="6"/>
        <w:rPr>
          <w:rFonts w:hint="eastAsia" w:ascii="方正小标宋简体" w:eastAsia="方正小标宋简体"/>
          <w:color w:val="000000" w:themeColor="text1"/>
          <w:sz w:val="44"/>
          <w:szCs w:val="44"/>
          <w14:textFill>
            <w14:solidFill>
              <w14:schemeClr w14:val="tx1"/>
            </w14:solidFill>
          </w14:textFill>
        </w:rPr>
      </w:pPr>
    </w:p>
    <w:p>
      <w:pPr>
        <w:pStyle w:val="7"/>
        <w:rPr>
          <w:rFonts w:hint="eastAsia" w:ascii="方正小标宋简体" w:eastAsia="方正小标宋简体"/>
          <w:color w:val="000000" w:themeColor="text1"/>
          <w:sz w:val="44"/>
          <w:szCs w:val="44"/>
          <w14:textFill>
            <w14:solidFill>
              <w14:schemeClr w14:val="tx1"/>
            </w14:solidFill>
          </w14:textFill>
        </w:rPr>
      </w:pPr>
    </w:p>
    <w:p>
      <w:pPr>
        <w:pStyle w:val="7"/>
        <w:rPr>
          <w:rFonts w:hint="eastAsia" w:ascii="方正小标宋简体" w:eastAsia="方正小标宋简体"/>
          <w:color w:val="000000" w:themeColor="text1"/>
          <w:sz w:val="44"/>
          <w:szCs w:val="44"/>
          <w14:textFill>
            <w14:solidFill>
              <w14:schemeClr w14:val="tx1"/>
            </w14:solidFill>
          </w14:textFill>
        </w:rPr>
      </w:pPr>
    </w:p>
    <w:p>
      <w:pPr>
        <w:pStyle w:val="7"/>
        <w:rPr>
          <w:rFonts w:hint="eastAsia" w:ascii="方正小标宋简体" w:eastAsia="方正小标宋简体"/>
          <w:color w:val="000000" w:themeColor="text1"/>
          <w:sz w:val="44"/>
          <w:szCs w:val="44"/>
          <w14:textFill>
            <w14:solidFill>
              <w14:schemeClr w14:val="tx1"/>
            </w14:solidFill>
          </w14:textFill>
        </w:rPr>
      </w:pPr>
    </w:p>
    <w:p>
      <w:pPr>
        <w:pStyle w:val="7"/>
        <w:rPr>
          <w:rFonts w:hint="eastAsia" w:ascii="方正小标宋简体" w:eastAsia="方正小标宋简体"/>
          <w:color w:val="000000" w:themeColor="text1"/>
          <w:sz w:val="44"/>
          <w:szCs w:val="44"/>
          <w14:textFill>
            <w14:solidFill>
              <w14:schemeClr w14:val="tx1"/>
            </w14:solidFill>
          </w14:textFill>
        </w:rPr>
      </w:pPr>
    </w:p>
    <w:p>
      <w:pPr>
        <w:jc w:val="both"/>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 xml:space="preserve"> </w:t>
      </w: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第二章  比选申请人须知</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ab/>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left"/>
        <w:rPr>
          <w:rFonts w:ascii="黑体" w:hAnsi="黑体" w:eastAsia="黑体"/>
          <w:bCs/>
          <w:color w:val="000000" w:themeColor="text1"/>
          <w:sz w:val="28"/>
          <w:szCs w:val="28"/>
          <w14:textFill>
            <w14:solidFill>
              <w14:schemeClr w14:val="tx1"/>
            </w14:solidFill>
          </w14:textFill>
        </w:rPr>
      </w:pPr>
      <w:r>
        <w:rPr>
          <w:rFonts w:hint="eastAsia" w:ascii="黑体" w:hAnsi="黑体" w:eastAsia="黑体"/>
          <w:bCs/>
          <w:color w:val="000000" w:themeColor="text1"/>
          <w:sz w:val="28"/>
          <w:szCs w:val="28"/>
          <w14:textFill>
            <w14:solidFill>
              <w14:schemeClr w14:val="tx1"/>
            </w14:solidFill>
          </w14:textFill>
        </w:rPr>
        <w:t xml:space="preserve"> </w:t>
      </w:r>
    </w:p>
    <w:p>
      <w:pPr>
        <w:pStyle w:val="8"/>
        <w:spacing w:after="156" w:afterLines="50"/>
        <w:jc w:val="center"/>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比选申请人须知</w:t>
      </w:r>
    </w:p>
    <w:tbl>
      <w:tblPr>
        <w:tblStyle w:val="16"/>
        <w:tblW w:w="9611"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700"/>
        <w:gridCol w:w="5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序号</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条款名称</w:t>
            </w:r>
          </w:p>
        </w:tc>
        <w:tc>
          <w:tcPr>
            <w:tcW w:w="5797"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比选人</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招</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标</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人：</w:t>
            </w:r>
            <w:r>
              <w:rPr>
                <w:rFonts w:hint="eastAsia" w:ascii="仿宋" w:hAnsi="仿宋" w:eastAsia="仿宋"/>
                <w:color w:val="000000" w:themeColor="text1"/>
                <w:u w:val="single"/>
                <w14:textFill>
                  <w14:solidFill>
                    <w14:schemeClr w14:val="tx1"/>
                  </w14:solidFill>
                </w14:textFill>
              </w:rPr>
              <w:t>四川成渝高速公路股份有限公司成渝分公司</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地   址：</w:t>
            </w:r>
            <w:r>
              <w:rPr>
                <w:rFonts w:hint="eastAsia" w:ascii="仿宋" w:hAnsi="仿宋" w:eastAsia="仿宋"/>
                <w:color w:val="000000" w:themeColor="text1"/>
                <w:u w:val="single"/>
                <w14:textFill>
                  <w14:solidFill>
                    <w14:schemeClr w14:val="tx1"/>
                  </w14:solidFill>
                </w14:textFill>
              </w:rPr>
              <w:t xml:space="preserve"> 成都市成华区迎晖路8号</w:t>
            </w:r>
          </w:p>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电   话：</w:t>
            </w:r>
            <w:r>
              <w:rPr>
                <w:rFonts w:hint="eastAsia" w:ascii="仿宋" w:hAnsi="仿宋" w:eastAsia="仿宋"/>
                <w:color w:val="000000" w:themeColor="text1"/>
                <w:u w:val="single"/>
                <w14:textFill>
                  <w14:solidFill>
                    <w14:schemeClr w14:val="tx1"/>
                  </w14:solidFill>
                </w14:textFill>
              </w:rPr>
              <w:t>13709083512</w:t>
            </w:r>
          </w:p>
          <w:p>
            <w:pPr>
              <w:spacing w:line="360" w:lineRule="auto"/>
              <w:rPr>
                <w:rFonts w:ascii="仿宋" w:hAnsi="仿宋" w:eastAsia="仿宋"/>
                <w:color w:val="000000" w:themeColor="text1"/>
                <w:u w:val="single"/>
                <w14:textFill>
                  <w14:solidFill>
                    <w14:schemeClr w14:val="tx1"/>
                  </w14:solidFill>
                </w14:textFill>
              </w:rPr>
            </w:pPr>
            <w:r>
              <w:rPr>
                <w:rFonts w:hint="eastAsia" w:ascii="仿宋" w:hAnsi="仿宋" w:eastAsia="仿宋"/>
                <w:color w:val="000000" w:themeColor="text1"/>
                <w14:textFill>
                  <w14:solidFill>
                    <w14:schemeClr w14:val="tx1"/>
                  </w14:solidFill>
                </w14:textFill>
              </w:rPr>
              <w:t>电子邮箱：</w:t>
            </w:r>
            <w:r>
              <w:rPr>
                <w:rFonts w:hint="eastAsia" w:ascii="仿宋" w:hAnsi="仿宋" w:eastAsia="仿宋"/>
                <w:color w:val="000000" w:themeColor="text1"/>
                <w:u w:val="single"/>
                <w14:textFill>
                  <w14:solidFill>
                    <w14:schemeClr w14:val="tx1"/>
                  </w14:solidFill>
                </w14:textFill>
              </w:rPr>
              <w:t>497230677@qq.com</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联</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系</w:t>
            </w:r>
            <w:r>
              <w:rPr>
                <w:rFonts w:ascii="Calibri" w:hAnsi="Calibri" w:eastAsia="仿宋" w:cs="Calibri"/>
                <w:color w:val="000000" w:themeColor="text1"/>
                <w14:textFill>
                  <w14:solidFill>
                    <w14:schemeClr w14:val="tx1"/>
                  </w14:solidFill>
                </w14:textFill>
              </w:rPr>
              <w:t> </w:t>
            </w:r>
            <w:r>
              <w:rPr>
                <w:rFonts w:hint="eastAsia" w:ascii="仿宋" w:hAnsi="仿宋" w:eastAsia="仿宋"/>
                <w:color w:val="000000" w:themeColor="text1"/>
                <w14:textFill>
                  <w14:solidFill>
                    <w14:schemeClr w14:val="tx1"/>
                  </w14:solidFill>
                </w14:textFill>
              </w:rPr>
              <w:t>人：</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u w:val="single"/>
                <w14:textFill>
                  <w14:solidFill>
                    <w14:schemeClr w14:val="tx1"/>
                  </w14:solidFill>
                </w14:textFill>
              </w:rPr>
              <w:t xml:space="preserve">邓女士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项目名称</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四川成渝高速公路股份有限公司成渝分公司成都管理处车辆定点维修保养服务项目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60" w:lineRule="auto"/>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w:t>
            </w:r>
          </w:p>
        </w:tc>
        <w:tc>
          <w:tcPr>
            <w:tcW w:w="2700" w:type="dxa"/>
            <w:tcBorders>
              <w:top w:val="single" w:color="auto" w:sz="4" w:space="0"/>
              <w:left w:val="nil"/>
              <w:bottom w:val="single" w:color="auto" w:sz="4" w:space="0"/>
              <w:right w:val="single" w:color="auto" w:sz="4" w:space="0"/>
            </w:tcBorders>
            <w:vAlign w:val="center"/>
          </w:tcPr>
          <w:p>
            <w:pPr>
              <w:pStyle w:val="8"/>
              <w:spacing w:line="360" w:lineRule="auto"/>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服务地点</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四川成渝高速公路成都管理处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招标范围</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本次招标范围及内容见招标公告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服务周期</w:t>
            </w:r>
          </w:p>
        </w:tc>
        <w:tc>
          <w:tcPr>
            <w:tcW w:w="5797" w:type="dxa"/>
            <w:tcBorders>
              <w:top w:val="single" w:color="auto" w:sz="4" w:space="0"/>
              <w:left w:val="nil"/>
              <w:bottom w:val="single" w:color="auto" w:sz="4" w:space="0"/>
              <w:right w:val="single" w:color="auto" w:sz="4" w:space="0"/>
            </w:tcBorders>
            <w:vAlign w:val="center"/>
          </w:tcPr>
          <w:p>
            <w:pPr>
              <w:widowControl/>
              <w:autoSpaceDE w:val="0"/>
              <w:autoSpaceDN w:val="0"/>
              <w:spacing w:line="360" w:lineRule="auto"/>
              <w:textAlignment w:val="bottom"/>
              <w:rPr>
                <w:rFonts w:ascii="仿宋" w:hAnsi="仿宋" w:eastAsia="仿宋"/>
                <w:color w:val="000000" w:themeColor="text1"/>
                <w:highlight w:val="yellow"/>
                <w14:textFill>
                  <w14:solidFill>
                    <w14:schemeClr w14:val="tx1"/>
                  </w14:solidFill>
                </w14:textFill>
              </w:rPr>
            </w:pPr>
            <w:r>
              <w:rPr>
                <w:rFonts w:hint="eastAsia" w:ascii="仿宋" w:hAnsi="仿宋" w:eastAsia="仿宋"/>
                <w:color w:val="000000" w:themeColor="text1"/>
                <w14:textFill>
                  <w14:solidFill>
                    <w14:schemeClr w14:val="tx1"/>
                  </w14:solidFill>
                </w14:textFill>
              </w:rPr>
              <w:t>合同工期为</w:t>
            </w:r>
            <w:r>
              <w:rPr>
                <w:rFonts w:hint="eastAsia" w:ascii="仿宋" w:hAnsi="仿宋" w:eastAsia="仿宋"/>
                <w:color w:val="000000" w:themeColor="text1"/>
                <w:u w:val="single"/>
                <w14:textFill>
                  <w14:solidFill>
                    <w14:schemeClr w14:val="tx1"/>
                  </w14:solidFill>
                </w14:textFill>
              </w:rPr>
              <w:t>12</w:t>
            </w:r>
            <w:r>
              <w:rPr>
                <w:rFonts w:hint="eastAsia" w:ascii="仿宋" w:hAnsi="仿宋" w:eastAsia="仿宋"/>
                <w:color w:val="000000" w:themeColor="text1"/>
                <w14:textFill>
                  <w14:solidFill>
                    <w14:schemeClr w14:val="tx1"/>
                  </w14:solidFill>
                </w14:textFill>
              </w:rPr>
              <w:t>个月，具体期限以签订服务协议日期为准。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质量要求</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由比选人实时进行交工验收，达到相关技术规范要求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比选申请人资质条件、能力</w:t>
            </w:r>
          </w:p>
        </w:tc>
        <w:tc>
          <w:tcPr>
            <w:tcW w:w="5797" w:type="dxa"/>
            <w:tcBorders>
              <w:top w:val="single" w:color="auto" w:sz="4" w:space="0"/>
              <w:left w:val="nil"/>
              <w:bottom w:val="single" w:color="auto" w:sz="4" w:space="0"/>
              <w:right w:val="single" w:color="auto" w:sz="4" w:space="0"/>
            </w:tcBorders>
            <w:vAlign w:val="center"/>
          </w:tcPr>
          <w:p>
            <w:pPr>
              <w:spacing w:line="360" w:lineRule="auto"/>
              <w:ind w:firstLine="0" w:firstLineChars="0"/>
              <w:rPr>
                <w:rFonts w:hint="eastAsia" w:ascii="仿宋" w:hAnsi="仿宋" w:eastAsia="仿宋" w:cs="Courier New"/>
                <w:color w:val="000000" w:themeColor="text1"/>
                <w:sz w:val="21"/>
                <w:lang w:val="en-US" w:eastAsia="zh-CN"/>
                <w14:textFill>
                  <w14:solidFill>
                    <w14:schemeClr w14:val="tx1"/>
                  </w14:solidFill>
                </w14:textFill>
              </w:rPr>
            </w:pPr>
            <w:r>
              <w:rPr>
                <w:rFonts w:hint="eastAsia" w:ascii="仿宋" w:hAnsi="仿宋" w:eastAsia="仿宋" w:cs="Courier New"/>
                <w:color w:val="000000" w:themeColor="text1"/>
                <w:sz w:val="21"/>
                <w:highlight w:val="none"/>
                <w:lang w:val="en-US" w:eastAsia="zh-CN"/>
                <w14:textFill>
                  <w14:solidFill>
                    <w14:schemeClr w14:val="tx1"/>
                  </w14:solidFill>
                </w14:textFill>
              </w:rPr>
              <w:t>资格要求：持有有效的营业执照、基本账户开户许可证或基本用户信息表</w:t>
            </w:r>
          </w:p>
          <w:p>
            <w:pPr>
              <w:spacing w:line="360" w:lineRule="auto"/>
              <w:ind w:firstLine="0" w:firstLineChars="0"/>
              <w:rPr>
                <w:rFonts w:hint="eastAsia" w:ascii="仿宋" w:hAnsi="仿宋" w:eastAsia="仿宋" w:cs="Courier New"/>
                <w:color w:val="000000" w:themeColor="text1"/>
                <w:sz w:val="21"/>
                <w:highlight w:val="none"/>
                <w:lang w:val="en-US" w:eastAsia="zh-CN"/>
                <w14:textFill>
                  <w14:solidFill>
                    <w14:schemeClr w14:val="tx1"/>
                  </w14:solidFill>
                </w14:textFill>
              </w:rPr>
            </w:pPr>
            <w:r>
              <w:rPr>
                <w:rFonts w:hint="eastAsia" w:ascii="仿宋" w:hAnsi="仿宋" w:eastAsia="仿宋" w:cs="Courier New"/>
                <w:color w:val="000000" w:themeColor="text1"/>
                <w:sz w:val="21"/>
                <w:highlight w:val="none"/>
                <w:lang w:val="en-US" w:eastAsia="zh-CN"/>
                <w14:textFill>
                  <w14:solidFill>
                    <w14:schemeClr w14:val="tx1"/>
                  </w14:solidFill>
                </w14:textFill>
              </w:rPr>
              <w:t>资质要求：具备道路运输经营许可证一类经营范围整车维修；</w:t>
            </w:r>
          </w:p>
          <w:p>
            <w:pPr>
              <w:ind w:firstLine="0" w:firstLineChars="0"/>
              <w:rPr>
                <w:rFonts w:ascii="仿宋" w:hAnsi="仿宋" w:eastAsia="仿宋"/>
                <w:color w:val="000000" w:themeColor="text1"/>
                <w14:textFill>
                  <w14:solidFill>
                    <w14:schemeClr w14:val="tx1"/>
                  </w14:solidFill>
                </w14:textFill>
              </w:rPr>
            </w:pPr>
            <w:r>
              <w:rPr>
                <w:rFonts w:hint="eastAsia" w:ascii="仿宋" w:hAnsi="仿宋" w:eastAsia="仿宋" w:cs="Courier New"/>
                <w:color w:val="000000" w:themeColor="text1"/>
                <w:sz w:val="21"/>
                <w:highlight w:val="none"/>
                <w:lang w:val="en-US" w:eastAsia="zh-CN"/>
                <w14:textFill>
                  <w14:solidFill>
                    <w14:schemeClr w14:val="tx1"/>
                  </w14:solidFill>
                </w14:textFill>
              </w:rPr>
              <w:t>业绩要求：近5年内（2018年1月至今）相关类似项目业绩作为参考，以上业绩需附合同文件或验收证书复印件（加盖鲜章）。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w:t>
            </w:r>
          </w:p>
        </w:tc>
        <w:tc>
          <w:tcPr>
            <w:tcW w:w="2700" w:type="dxa"/>
            <w:tcBorders>
              <w:top w:val="single" w:color="auto" w:sz="4" w:space="0"/>
              <w:left w:val="nil"/>
              <w:bottom w:val="single" w:color="auto" w:sz="4" w:space="0"/>
              <w:right w:val="single" w:color="auto" w:sz="4" w:space="0"/>
            </w:tcBorders>
            <w:vAlign w:val="center"/>
          </w:tcPr>
          <w:p>
            <w:pPr>
              <w:pStyle w:val="8"/>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比选文件的组成</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w:t>
            </w:r>
            <w:r>
              <w:rPr>
                <w:rFonts w:hint="eastAsia" w:ascii="仿宋" w:hAnsi="仿宋" w:eastAsia="仿宋"/>
                <w:color w:val="000000" w:themeColor="text1"/>
                <w:lang w:val="en-US" w:eastAsia="zh-CN"/>
                <w14:textFill>
                  <w14:solidFill>
                    <w14:schemeClr w14:val="tx1"/>
                  </w14:solidFill>
                </w14:textFill>
              </w:rPr>
              <w:t>申请</w:t>
            </w:r>
            <w:r>
              <w:rPr>
                <w:rFonts w:hint="eastAsia" w:ascii="仿宋" w:hAnsi="仿宋" w:eastAsia="仿宋"/>
                <w:color w:val="000000" w:themeColor="text1"/>
                <w14:textFill>
                  <w14:solidFill>
                    <w14:schemeClr w14:val="tx1"/>
                  </w14:solidFill>
                </w14:textFill>
              </w:rPr>
              <w:t>文件补遗书（如果有）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114" w:type="dxa"/>
            <w:vMerge w:val="restart"/>
            <w:tcBorders>
              <w:top w:val="nil"/>
              <w:left w:val="single" w:color="auto" w:sz="4" w:space="0"/>
              <w:bottom w:val="single" w:color="auto" w:sz="4" w:space="0"/>
              <w:right w:val="single" w:color="auto" w:sz="4" w:space="0"/>
            </w:tcBorders>
            <w:vAlign w:val="center"/>
          </w:tcPr>
          <w:p>
            <w:pPr>
              <w:pStyle w:val="14"/>
              <w:spacing w:line="34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w:t>
            </w:r>
          </w:p>
        </w:tc>
        <w:tc>
          <w:tcPr>
            <w:tcW w:w="2700" w:type="dxa"/>
            <w:vMerge w:val="restart"/>
            <w:tcBorders>
              <w:top w:val="nil"/>
              <w:left w:val="nil"/>
              <w:bottom w:val="single" w:color="auto" w:sz="4" w:space="0"/>
              <w:right w:val="single" w:color="auto" w:sz="4" w:space="0"/>
            </w:tcBorders>
            <w:vAlign w:val="center"/>
          </w:tcPr>
          <w:p>
            <w:pPr>
              <w:pStyle w:val="14"/>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比选申请人要求澄清</w:t>
            </w:r>
          </w:p>
          <w:p>
            <w:pPr>
              <w:pStyle w:val="14"/>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时间：比选申请人在递交比选申请文件截止之日</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u w:val="single"/>
                <w14:textFill>
                  <w14:solidFill>
                    <w14:schemeClr w14:val="tx1"/>
                  </w14:solidFill>
                </w14:textFill>
              </w:rPr>
              <w:t>3</w:t>
            </w:r>
            <w:r>
              <w:rPr>
                <w:rFonts w:ascii="Calibri" w:hAnsi="Calibri" w:eastAsia="仿宋" w:cs="Calibri"/>
                <w:color w:val="000000" w:themeColor="text1"/>
                <w:u w:val="single"/>
                <w14:textFill>
                  <w14:solidFill>
                    <w14:schemeClr w14:val="tx1"/>
                  </w14:solidFill>
                </w14:textFill>
              </w:rPr>
              <w:t> </w:t>
            </w:r>
            <w:r>
              <w:rPr>
                <w:rFonts w:hint="eastAsia" w:ascii="仿宋" w:hAnsi="仿宋" w:eastAsia="仿宋"/>
                <w:color w:val="000000" w:themeColor="text1"/>
                <w14:textFill>
                  <w14:solidFill>
                    <w14:schemeClr w14:val="tx1"/>
                  </w14:solidFill>
                </w14:textFill>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14:textFill>
                  <w14:solidFill>
                    <w14:schemeClr w14:val="tx1"/>
                  </w14:solidFill>
                </w14:textFill>
              </w:rPr>
            </w:pPr>
          </w:p>
        </w:tc>
        <w:tc>
          <w:tcPr>
            <w:tcW w:w="270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形式：以书面形式要求澄清比选文件，且无需提供比选申请人信息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10</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比选文件澄清发出的形式</w:t>
            </w:r>
          </w:p>
        </w:tc>
        <w:tc>
          <w:tcPr>
            <w:tcW w:w="5797"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送交比选申请文件截止之日</w:t>
            </w:r>
            <w:r>
              <w:rPr>
                <w:rFonts w:hint="eastAsia" w:ascii="仿宋" w:hAnsi="仿宋" w:eastAsia="仿宋"/>
                <w:color w:val="000000" w:themeColor="text1"/>
                <w:u w:val="single"/>
                <w14:textFill>
                  <w14:solidFill>
                    <w14:schemeClr w14:val="tx1"/>
                  </w14:solidFill>
                </w14:textFill>
              </w:rPr>
              <w:t>2</w:t>
            </w:r>
            <w:r>
              <w:rPr>
                <w:rFonts w:hint="eastAsia" w:ascii="仿宋" w:hAnsi="仿宋" w:eastAsia="仿宋"/>
                <w:color w:val="000000" w:themeColor="text1"/>
                <w14:textFill>
                  <w14:solidFill>
                    <w14:schemeClr w14:val="tx1"/>
                  </w14:solidFill>
                </w14:textFill>
              </w:rPr>
              <w:t>天前，比选人将以补遗书形式对比选文件进行澄清。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114" w:type="dxa"/>
            <w:vMerge w:val="restart"/>
            <w:tcBorders>
              <w:top w:val="nil"/>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w:t>
            </w:r>
          </w:p>
        </w:tc>
        <w:tc>
          <w:tcPr>
            <w:tcW w:w="2700" w:type="dxa"/>
            <w:vMerge w:val="restart"/>
            <w:tcBorders>
              <w:top w:val="nil"/>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比选申请人确认收到比选文件澄清</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时间：由比选申请人在比选人指定地点查阅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ourier New"/>
                <w:color w:val="000000" w:themeColor="text1"/>
                <w:sz w:val="24"/>
                <w:szCs w:val="24"/>
                <w14:textFill>
                  <w14:solidFill>
                    <w14:schemeClr w14:val="tx1"/>
                  </w14:solidFill>
                </w14:textFill>
              </w:rPr>
            </w:pPr>
          </w:p>
        </w:tc>
        <w:tc>
          <w:tcPr>
            <w:tcW w:w="270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Courier New"/>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vAlign w:val="center"/>
          </w:tcPr>
          <w:p>
            <w:pPr>
              <w:pStyle w:val="8"/>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形式：不要求比选申请人向比选人发出确认函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12</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比选申请文件密封的形式</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13</w:t>
            </w:r>
          </w:p>
        </w:tc>
        <w:tc>
          <w:tcPr>
            <w:tcW w:w="2700" w:type="dxa"/>
            <w:tcBorders>
              <w:top w:val="single" w:color="auto" w:sz="4" w:space="0"/>
              <w:left w:val="nil"/>
              <w:bottom w:val="single" w:color="auto" w:sz="4" w:space="0"/>
              <w:right w:val="single" w:color="auto" w:sz="4" w:space="0"/>
            </w:tcBorders>
            <w:vAlign w:val="center"/>
          </w:tcPr>
          <w:p>
            <w:pPr>
              <w:pStyle w:val="8"/>
              <w:adjustRightInd w:val="0"/>
              <w:snapToGrid w:val="0"/>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比选申请文件的组成</w:t>
            </w:r>
          </w:p>
        </w:tc>
        <w:tc>
          <w:tcPr>
            <w:tcW w:w="5797" w:type="dxa"/>
            <w:tcBorders>
              <w:top w:val="single" w:color="auto" w:sz="4" w:space="0"/>
              <w:left w:val="nil"/>
              <w:bottom w:val="single" w:color="auto" w:sz="4" w:space="0"/>
              <w:right w:val="single" w:color="auto" w:sz="4" w:space="0"/>
            </w:tcBorders>
            <w:vAlign w:val="center"/>
          </w:tcPr>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（一）投标报价函</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（二）法定代表人身份证明及授权委托书（如有）</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（三）维修保养清单</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（四）资格证明材料</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（五）本项目管理、服务、其他人员情况表</w:t>
            </w:r>
          </w:p>
          <w:p>
            <w:pPr>
              <w:spacing w:line="348"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（六）其他资料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增值税税金的计算</w:t>
            </w:r>
          </w:p>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方法</w:t>
            </w:r>
          </w:p>
        </w:tc>
        <w:tc>
          <w:tcPr>
            <w:tcW w:w="5797" w:type="dxa"/>
            <w:tcBorders>
              <w:top w:val="single" w:color="auto" w:sz="4" w:space="0"/>
              <w:left w:val="nil"/>
              <w:bottom w:val="single" w:color="auto" w:sz="4" w:space="0"/>
              <w:right w:val="single" w:color="auto" w:sz="4" w:space="0"/>
            </w:tcBorders>
            <w:vAlign w:val="center"/>
          </w:tcPr>
          <w:p>
            <w:pPr>
              <w:pStyle w:val="8"/>
              <w:spacing w:line="32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投标报价为含税价，增值税税金按国家规定计税方法计算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报价清单的填写</w:t>
            </w:r>
          </w:p>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方式</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比选申请人按照比选人提供的书面报价清单填写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报价方式</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根据市场调研汽车维修价格作为业主估算单价，本次招标以报价比例的方式进行报价，且不能高于比选人公布的最高投标限价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17</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是否接受调价函</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18</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最高投标限价</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投标报价的最高投标限价为业主估算单价的100%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19</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投标报价的其他要求</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（1）本次比选申请人须填写投标报价比例，该比例即为服务清单所有单价的统一降价比例，且报价比例不得超过最高投标限价，否则按无效投标处理。</w:t>
            </w:r>
          </w:p>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（2）中标人的结算金额=实际完成维修数量×比选文件公布的业主估算单价×中标人的报价比例，合同执行期间不调价。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ind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20</w:t>
            </w:r>
          </w:p>
        </w:tc>
        <w:tc>
          <w:tcPr>
            <w:tcW w:w="2700" w:type="dxa"/>
            <w:tcBorders>
              <w:top w:val="single" w:color="auto" w:sz="4" w:space="0"/>
              <w:left w:val="nil"/>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投标有效期</w:t>
            </w:r>
          </w:p>
        </w:tc>
        <w:tc>
          <w:tcPr>
            <w:tcW w:w="5797" w:type="dxa"/>
            <w:tcBorders>
              <w:top w:val="single" w:color="auto" w:sz="4" w:space="0"/>
              <w:left w:val="nil"/>
              <w:bottom w:val="single" w:color="auto" w:sz="4" w:space="0"/>
              <w:right w:val="single" w:color="auto" w:sz="4" w:space="0"/>
            </w:tcBorders>
            <w:vAlign w:val="center"/>
          </w:tcPr>
          <w:p>
            <w:pPr>
              <w:pStyle w:val="8"/>
              <w:spacing w:line="34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自比选申请人提交比选申请文件截止之日期起计算</w:t>
            </w:r>
            <w:r>
              <w:rPr>
                <w:rFonts w:hint="eastAsia" w:ascii="仿宋" w:hAnsi="仿宋" w:eastAsia="仿宋"/>
                <w:color w:val="000000" w:themeColor="text1"/>
                <w:u w:val="single"/>
                <w14:textFill>
                  <w14:solidFill>
                    <w14:schemeClr w14:val="tx1"/>
                  </w14:solidFill>
                </w14:textFill>
              </w:rPr>
              <w:t xml:space="preserve"> 90</w:t>
            </w:r>
            <w:r>
              <w:rPr>
                <w:rFonts w:hint="eastAsia" w:ascii="仿宋" w:hAnsi="仿宋" w:eastAsia="仿宋"/>
                <w:color w:val="000000" w:themeColor="text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4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w:t>
            </w:r>
          </w:p>
        </w:tc>
        <w:tc>
          <w:tcPr>
            <w:tcW w:w="2700" w:type="dxa"/>
            <w:tcBorders>
              <w:top w:val="single" w:color="auto" w:sz="4" w:space="0"/>
              <w:left w:val="nil"/>
              <w:bottom w:val="single" w:color="auto" w:sz="4" w:space="0"/>
              <w:right w:val="single" w:color="auto" w:sz="4" w:space="0"/>
            </w:tcBorders>
            <w:vAlign w:val="center"/>
          </w:tcPr>
          <w:p>
            <w:pPr>
              <w:pStyle w:val="8"/>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投标保证金</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22</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是否允许递交</w:t>
            </w:r>
          </w:p>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备选投标方案</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spacing w:line="34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23</w:t>
            </w:r>
          </w:p>
        </w:tc>
        <w:tc>
          <w:tcPr>
            <w:tcW w:w="2700" w:type="dxa"/>
            <w:tcBorders>
              <w:top w:val="single" w:color="auto" w:sz="4" w:space="0"/>
              <w:left w:val="nil"/>
              <w:bottom w:val="single" w:color="auto" w:sz="4" w:space="0"/>
              <w:right w:val="single" w:color="auto" w:sz="4" w:space="0"/>
            </w:tcBorders>
            <w:vAlign w:val="center"/>
          </w:tcPr>
          <w:p>
            <w:pPr>
              <w:pStyle w:val="6"/>
              <w:spacing w:line="34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签字或盖章要求</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（1）法定代表人或授权的代理人必须在比选申请文件格式上所有要求签署的地方亲自签署，并不得用印章、签名章或电子制版章代替。</w:t>
            </w:r>
          </w:p>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（2）比选申请文件格式上所有要求盖章的地方都须加盖比选申请人单位章（法定名称），不得使用专用印章，单位章内容必须与单位营业执照名称一致。</w:t>
            </w:r>
          </w:p>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（3）比选申请文件格式中对应内容在提交的比选申请文件中的任何改动之处应加盖单位章或由比选申请人的法定代表人或其委托代理人签字确认。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24</w:t>
            </w:r>
          </w:p>
        </w:tc>
        <w:tc>
          <w:tcPr>
            <w:tcW w:w="2700" w:type="dxa"/>
            <w:tcBorders>
              <w:top w:val="single" w:color="auto" w:sz="4" w:space="0"/>
              <w:left w:val="nil"/>
              <w:bottom w:val="single" w:color="auto" w:sz="4" w:space="0"/>
              <w:right w:val="single" w:color="auto" w:sz="4" w:space="0"/>
            </w:tcBorders>
            <w:vAlign w:val="center"/>
          </w:tcPr>
          <w:p>
            <w:pPr>
              <w:pStyle w:val="6"/>
              <w:spacing w:line="38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比选申请文件的密封、签署和签订</w:t>
            </w:r>
          </w:p>
        </w:tc>
        <w:tc>
          <w:tcPr>
            <w:tcW w:w="5797" w:type="dxa"/>
            <w:tcBorders>
              <w:top w:val="single" w:color="auto" w:sz="4" w:space="0"/>
              <w:left w:val="nil"/>
              <w:bottom w:val="single" w:color="auto" w:sz="4" w:space="0"/>
              <w:right w:val="single" w:color="auto" w:sz="4" w:space="0"/>
            </w:tcBorders>
            <w:vAlign w:val="center"/>
          </w:tcPr>
          <w:p>
            <w:pPr>
              <w:pStyle w:val="6"/>
              <w:numPr>
                <w:ilvl w:val="0"/>
                <w:numId w:val="1"/>
              </w:numPr>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比选申请文件必须包装在密封套内，上有“正本”、“副本”标记，封套上应加盖密封章或贴密封条，不应有任何报价人的识别标志（含本单位公章），未密封的比选申请文件将不予签收。</w:t>
            </w:r>
          </w:p>
          <w:p>
            <w:pPr>
              <w:pStyle w:val="6"/>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（2）比选申请文件份数，正本1份、副本1份。副本应是正本的复制件，当正本与副本有不一致时，以正本为准。</w:t>
            </w:r>
          </w:p>
          <w:p>
            <w:pPr>
              <w:pStyle w:val="6"/>
              <w:spacing w:line="360" w:lineRule="auto"/>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3）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丢失、散落或其它后果不承担任何责任。</w:t>
            </w:r>
            <w:r>
              <w:rPr>
                <w:rFonts w:hint="eastAsia" w:ascii="仿宋" w:hAnsi="仿宋" w:eastAsia="仿宋"/>
                <w:color w:val="000000" w:themeColor="text1"/>
                <w:spacing w:val="-4"/>
                <w:sz w:val="21"/>
                <w:szCs w:val="21"/>
                <w14:textFill>
                  <w14:solidFill>
                    <w14:schemeClr w14:val="tx1"/>
                  </w14:solidFill>
                </w14:textFill>
              </w:rPr>
              <w:t>比选文件要求附原件的资料，应一律附于比选申请文件“正本”内。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25</w:t>
            </w:r>
          </w:p>
        </w:tc>
        <w:tc>
          <w:tcPr>
            <w:tcW w:w="2700" w:type="dxa"/>
            <w:tcBorders>
              <w:top w:val="single" w:color="auto" w:sz="4" w:space="0"/>
              <w:left w:val="nil"/>
              <w:bottom w:val="single" w:color="auto" w:sz="4" w:space="0"/>
              <w:right w:val="single" w:color="auto" w:sz="4" w:space="0"/>
            </w:tcBorders>
            <w:vAlign w:val="center"/>
          </w:tcPr>
          <w:p>
            <w:pPr>
              <w:pStyle w:val="6"/>
              <w:spacing w:line="360" w:lineRule="auto"/>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是否退还比选申请文件</w:t>
            </w:r>
          </w:p>
        </w:tc>
        <w:tc>
          <w:tcPr>
            <w:tcW w:w="5797"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6"/>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26</w:t>
            </w:r>
          </w:p>
        </w:tc>
        <w:tc>
          <w:tcPr>
            <w:tcW w:w="2700" w:type="dxa"/>
            <w:tcBorders>
              <w:top w:val="single" w:color="auto" w:sz="4" w:space="0"/>
              <w:left w:val="nil"/>
              <w:bottom w:val="single" w:color="auto" w:sz="4" w:space="0"/>
              <w:right w:val="single" w:color="auto" w:sz="4" w:space="0"/>
            </w:tcBorders>
            <w:vAlign w:val="center"/>
          </w:tcPr>
          <w:p>
            <w:pPr>
              <w:pStyle w:val="6"/>
              <w:spacing w:line="320" w:lineRule="exact"/>
              <w:jc w:val="center"/>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开标时间和地点</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比选申请文件递交截止同一时间、同一地点。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27</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推荐中标候选人的人数</w:t>
            </w:r>
          </w:p>
        </w:tc>
        <w:tc>
          <w:tcPr>
            <w:tcW w:w="5797" w:type="dxa"/>
            <w:tcBorders>
              <w:top w:val="single" w:color="auto" w:sz="4" w:space="0"/>
              <w:left w:val="nil"/>
              <w:bottom w:val="single" w:color="auto" w:sz="4" w:space="0"/>
              <w:right w:val="single" w:color="auto" w:sz="4" w:space="0"/>
            </w:tcBorders>
            <w:vAlign w:val="center"/>
          </w:tcPr>
          <w:p>
            <w:pPr>
              <w:pStyle w:val="21"/>
              <w:spacing w:after="0" w:line="320" w:lineRule="exact"/>
              <w:ind w:left="0" w:leftChars="0" w:firstLine="0"/>
              <w:jc w:val="left"/>
              <w:rPr>
                <w:rFonts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1-3人（若不足3名时取相应的数量）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28 </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履约保证金</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是否要求中标人提交履约保证金：</w:t>
            </w:r>
          </w:p>
          <w:p>
            <w:pPr>
              <w:pStyle w:val="8"/>
              <w:spacing w:line="360" w:lineRule="auto"/>
              <w:jc w:val="left"/>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要求，</w:t>
            </w:r>
            <w:r>
              <w:rPr>
                <w:rFonts w:hint="eastAsia" w:ascii="仿宋" w:hAnsi="仿宋" w:eastAsia="仿宋"/>
                <w:bCs/>
                <w:color w:val="000000" w:themeColor="text1"/>
                <w14:textFill>
                  <w14:solidFill>
                    <w14:schemeClr w14:val="tx1"/>
                  </w14:solidFill>
                </w14:textFill>
              </w:rPr>
              <w:t>履约保证金的形式：</w:t>
            </w:r>
            <w:r>
              <w:rPr>
                <w:rFonts w:hint="eastAsia" w:ascii="仿宋" w:hAnsi="仿宋" w:eastAsia="仿宋"/>
                <w:bCs/>
                <w:color w:val="000000" w:themeColor="text1"/>
                <w:u w:val="single"/>
                <w14:textFill>
                  <w14:solidFill>
                    <w14:schemeClr w14:val="tx1"/>
                  </w14:solidFill>
                </w14:textFill>
              </w:rPr>
              <w:t>银行保函或现金、支票形式</w:t>
            </w:r>
            <w:r>
              <w:rPr>
                <w:rFonts w:hint="eastAsia" w:ascii="仿宋" w:hAnsi="仿宋" w:eastAsia="仿宋"/>
                <w:bCs/>
                <w:color w:val="000000" w:themeColor="text1"/>
                <w14:textFill>
                  <w14:solidFill>
                    <w14:schemeClr w14:val="tx1"/>
                  </w14:solidFill>
                </w14:textFill>
              </w:rPr>
              <w:t>。</w:t>
            </w:r>
            <w:r>
              <w:rPr>
                <w:rFonts w:hint="eastAsia" w:ascii="仿宋" w:hAnsi="仿宋" w:eastAsia="仿宋"/>
                <w:color w:val="000000" w:themeColor="text1"/>
                <w:spacing w:val="-4"/>
                <w14:textFill>
                  <w14:solidFill>
                    <w14:schemeClr w14:val="tx1"/>
                  </w14:solidFill>
                </w14:textFill>
              </w:rPr>
              <w:t xml:space="preserve">  </w:t>
            </w:r>
          </w:p>
          <w:p>
            <w:pPr>
              <w:pStyle w:val="8"/>
              <w:spacing w:line="360" w:lineRule="auto"/>
              <w:jc w:val="left"/>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spacing w:val="-4"/>
                <w14:textFill>
                  <w14:solidFill>
                    <w14:schemeClr w14:val="tx1"/>
                  </w14:solidFill>
                </w14:textFill>
              </w:rPr>
              <w:t>履约保证金的金额：5000元。</w:t>
            </w:r>
          </w:p>
          <w:p>
            <w:pPr>
              <w:pStyle w:val="8"/>
              <w:spacing w:line="360" w:lineRule="auto"/>
              <w:jc w:val="left"/>
              <w:rPr>
                <w:rFonts w:ascii="仿宋" w:hAnsi="仿宋" w:eastAsia="仿宋"/>
                <w:bCs/>
                <w:color w:val="000000" w:themeColor="text1"/>
                <w14:textFill>
                  <w14:solidFill>
                    <w14:schemeClr w14:val="tx1"/>
                  </w14:solidFill>
                </w14:textFill>
              </w:rPr>
            </w:pPr>
            <w:r>
              <w:rPr>
                <w:rFonts w:hint="eastAsia" w:ascii="仿宋" w:hAnsi="仿宋" w:eastAsia="仿宋"/>
                <w:bCs/>
                <w:color w:val="000000" w:themeColor="text1"/>
                <w14:textFill>
                  <w14:solidFill>
                    <w14:schemeClr w14:val="tx1"/>
                  </w14:solidFill>
                </w14:textFill>
              </w:rPr>
              <w:t>采用银行保函时，出具保函的银行级别：支行及以上国有或股份制商业银行开具</w:t>
            </w:r>
          </w:p>
          <w:p>
            <w:pPr>
              <w:pStyle w:val="8"/>
              <w:spacing w:line="360" w:lineRule="auto"/>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提交履约保证金保时间：在中标通知书发出后，且应在签订合同之前提交。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pStyle w:val="8"/>
              <w:spacing w:line="320" w:lineRule="exact"/>
              <w:ind w:left="-105" w:leftChars="-50" w:right="-105" w:rightChars="-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29</w:t>
            </w:r>
          </w:p>
        </w:tc>
        <w:tc>
          <w:tcPr>
            <w:tcW w:w="2700" w:type="dxa"/>
            <w:tcBorders>
              <w:top w:val="single" w:color="auto" w:sz="4" w:space="0"/>
              <w:left w:val="nil"/>
              <w:bottom w:val="single" w:color="auto" w:sz="4" w:space="0"/>
              <w:right w:val="single" w:color="auto" w:sz="4" w:space="0"/>
            </w:tcBorders>
            <w:vAlign w:val="center"/>
          </w:tcPr>
          <w:p>
            <w:pPr>
              <w:pStyle w:val="8"/>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签订合同</w:t>
            </w:r>
          </w:p>
          <w:p>
            <w:pPr>
              <w:pStyle w:val="8"/>
              <w:spacing w:line="320" w:lineRule="exact"/>
              <w:jc w:val="center"/>
              <w:rPr>
                <w:rFonts w:ascii="仿宋" w:hAnsi="仿宋" w:eastAsia="仿宋"/>
                <w:color w:val="000000" w:themeColor="text1"/>
                <w14:textFill>
                  <w14:solidFill>
                    <w14:schemeClr w14:val="tx1"/>
                  </w14:solidFill>
                </w14:textFill>
              </w:rPr>
            </w:pPr>
          </w:p>
        </w:tc>
        <w:tc>
          <w:tcPr>
            <w:tcW w:w="5797" w:type="dxa"/>
            <w:tcBorders>
              <w:top w:val="single" w:color="auto" w:sz="4" w:space="0"/>
              <w:left w:val="nil"/>
              <w:bottom w:val="single" w:color="auto" w:sz="4" w:space="0"/>
              <w:right w:val="single" w:color="auto" w:sz="4" w:space="0"/>
            </w:tcBorders>
          </w:tcPr>
          <w:p>
            <w:pPr>
              <w:spacing w:line="360" w:lineRule="auto"/>
              <w:rPr>
                <w:rFonts w:ascii="仿宋" w:hAnsi="仿宋" w:eastAsia="仿宋"/>
                <w:b/>
                <w:bCs/>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（1）签约合同价：中标人报价比例；</w:t>
            </w:r>
          </w:p>
          <w:p>
            <w:pPr>
              <w:pStyle w:val="8"/>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r>
              <w:rPr>
                <w:rFonts w:hint="eastAsia" w:ascii="仿宋" w:hAnsi="仿宋" w:eastAsia="仿宋"/>
                <w:color w:val="000000" w:themeColor="text1"/>
                <w:kern w:val="0"/>
                <w14:textFill>
                  <w14:solidFill>
                    <w14:schemeClr w14:val="tx1"/>
                  </w14:solidFill>
                </w14:textFill>
              </w:rPr>
              <w:t>比选人和中标人应当自中标通知书发出之日起30日内，按照比选文件和中标人的比选申请文件订立书面合同，合同的标的、价格、质量、安全、履行期限等主要条款应当与上述文件的内容一致。比选人和中标人不得再行订立背离合同实质性内容的其他协议；</w:t>
            </w:r>
          </w:p>
          <w:p>
            <w:pPr>
              <w:pStyle w:val="8"/>
              <w:spacing w:line="360" w:lineRule="auto"/>
              <w:rPr>
                <w:rFonts w:ascii="仿宋" w:hAnsi="仿宋" w:eastAsia="仿宋"/>
                <w:color w:val="000000" w:themeColor="text1"/>
                <w:spacing w:val="-4"/>
                <w14:textFill>
                  <w14:solidFill>
                    <w14:schemeClr w14:val="tx1"/>
                  </w14:solidFill>
                </w14:textFill>
              </w:rPr>
            </w:pPr>
            <w:r>
              <w:rPr>
                <w:rFonts w:hint="eastAsia" w:ascii="仿宋" w:hAnsi="仿宋" w:eastAsia="仿宋"/>
                <w:color w:val="000000" w:themeColor="text1"/>
                <w14:textFill>
                  <w14:solidFill>
                    <w14:schemeClr w14:val="tx1"/>
                  </w14:solidFill>
                </w14:textFill>
              </w:rPr>
              <w:t>（3）</w:t>
            </w:r>
            <w:r>
              <w:rPr>
                <w:rFonts w:hint="eastAsia" w:ascii="仿宋" w:hAnsi="仿宋" w:eastAsia="仿宋"/>
                <w:color w:val="000000" w:themeColor="text1"/>
                <w:spacing w:val="-4"/>
                <w14:textFill>
                  <w14:solidFill>
                    <w14:schemeClr w14:val="tx1"/>
                  </w14:solidFill>
                </w14:textFill>
              </w:rPr>
              <w:t>中标人拒签合同的，比选人取消其中标资格。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5" w:hRule="atLeast"/>
        </w:trPr>
        <w:tc>
          <w:tcPr>
            <w:tcW w:w="11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30</w:t>
            </w:r>
          </w:p>
        </w:tc>
        <w:tc>
          <w:tcPr>
            <w:tcW w:w="2700" w:type="dxa"/>
            <w:tcBorders>
              <w:top w:val="single" w:color="auto" w:sz="4" w:space="0"/>
              <w:left w:val="nil"/>
              <w:bottom w:val="single" w:color="auto" w:sz="4" w:space="0"/>
              <w:right w:val="single" w:color="auto" w:sz="4" w:space="0"/>
            </w:tcBorders>
            <w:vAlign w:val="center"/>
          </w:tcPr>
          <w:p>
            <w:pPr>
              <w:pStyle w:val="32"/>
              <w:snapToGrid w:val="0"/>
              <w:spacing w:line="320" w:lineRule="exact"/>
              <w:ind w:left="142" w:right="141" w:rightChars="67"/>
              <w:jc w:val="center"/>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kern w:val="2"/>
                <w:sz w:val="22"/>
                <w:szCs w:val="22"/>
                <w14:textFill>
                  <w14:solidFill>
                    <w14:schemeClr w14:val="tx1"/>
                  </w14:solidFill>
                </w14:textFill>
              </w:rPr>
              <w:t>低于成本价不正当竞争预防措施</w:t>
            </w:r>
            <w:r>
              <w:rPr>
                <w:rFonts w:hint="eastAsia" w:ascii="仿宋" w:hAnsi="仿宋" w:eastAsia="仿宋" w:cs="Times New Roman"/>
                <w:color w:val="000000" w:themeColor="text1"/>
                <w:sz w:val="22"/>
                <w:szCs w:val="22"/>
                <w14:textFill>
                  <w14:solidFill>
                    <w14:schemeClr w14:val="tx1"/>
                  </w14:solidFill>
                </w14:textFill>
              </w:rPr>
              <w:t>（实质性要求）</w:t>
            </w:r>
          </w:p>
        </w:tc>
        <w:tc>
          <w:tcPr>
            <w:tcW w:w="5797" w:type="dxa"/>
            <w:tcBorders>
              <w:top w:val="single" w:color="auto" w:sz="4" w:space="0"/>
              <w:left w:val="nil"/>
              <w:bottom w:val="single" w:color="auto" w:sz="4" w:space="0"/>
              <w:right w:val="single" w:color="auto" w:sz="4" w:space="0"/>
            </w:tcBorders>
            <w:vAlign w:val="center"/>
          </w:tcPr>
          <w:p>
            <w:pPr>
              <w:pStyle w:val="32"/>
              <w:snapToGrid w:val="0"/>
              <w:spacing w:line="320" w:lineRule="exact"/>
              <w:ind w:right="158" w:rightChars="75" w:firstLine="420" w:firstLineChars="200"/>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在评标过程中，评标小组发现投标人的报价明显低于其他投标报价，使其投标报价可能低于其个别成本的，可能影响产品质量或者不能诚信履约的，评标小组应当要求其在评标现场合理的时间内提供成本构成书面说明，并提交相关证明材料。比选申请人书面说明应当按照国家财务会计制度的规定要求，逐项就投标人提供的服务的主营业务成本、税金及附加、销售费用、管理费用、财务费用等成本构成事项详细陈述。</w:t>
            </w:r>
          </w:p>
          <w:p>
            <w:pPr>
              <w:pStyle w:val="32"/>
              <w:snapToGrid w:val="0"/>
              <w:spacing w:line="320" w:lineRule="exact"/>
              <w:ind w:right="158" w:rightChars="75" w:firstLine="420" w:firstLineChars="200"/>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比选申请人书面说明应当签字确认或者加盖单位公章，否则无效。书面说明的签字确认，比选申请人为法人的，由其法定代表人或者代理人签字确认</w:t>
            </w:r>
            <w:commentRangeStart w:id="0"/>
            <w:r>
              <w:rPr>
                <w:rFonts w:hint="eastAsia" w:ascii="仿宋" w:hAnsi="仿宋" w:eastAsia="仿宋" w:cs="Times New Roman"/>
                <w:color w:val="000000" w:themeColor="text1"/>
                <w:sz w:val="21"/>
                <w:szCs w:val="21"/>
                <w14:textFill>
                  <w14:solidFill>
                    <w14:schemeClr w14:val="tx1"/>
                  </w14:solidFill>
                </w14:textFill>
              </w:rPr>
              <w:t>。</w:t>
            </w:r>
            <w:commentRangeEnd w:id="0"/>
            <w:r>
              <w:rPr>
                <w:rStyle w:val="20"/>
                <w:rFonts w:ascii="Times New Roman" w:hAnsi="Times New Roman" w:cs="Times New Roman"/>
                <w:color w:val="000000" w:themeColor="text1"/>
                <w:kern w:val="2"/>
                <w14:textFill>
                  <w14:solidFill>
                    <w14:schemeClr w14:val="tx1"/>
                  </w14:solidFill>
                </w14:textFill>
              </w:rPr>
              <w:commentReference w:id="0"/>
            </w:r>
          </w:p>
          <w:p>
            <w:pPr>
              <w:pStyle w:val="32"/>
              <w:snapToGrid w:val="0"/>
              <w:spacing w:line="320" w:lineRule="exact"/>
              <w:ind w:right="158" w:rightChars="75" w:firstLine="420" w:firstLineChars="200"/>
              <w:jc w:val="both"/>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比选申请人提供书面说明后，评标小组应当结合项目需求、服务需求</w:t>
            </w:r>
            <w:r>
              <w:rPr>
                <w:rFonts w:hint="eastAsia" w:ascii="仿宋" w:hAnsi="仿宋" w:eastAsia="仿宋" w:cs="Times New Roman"/>
                <w:color w:val="000000" w:themeColor="text1"/>
                <w:sz w:val="21"/>
                <w:szCs w:val="21"/>
                <w:lang w:eastAsia="zh-CN"/>
                <w14:textFill>
                  <w14:solidFill>
                    <w14:schemeClr w14:val="tx1"/>
                  </w14:solidFill>
                </w14:textFill>
              </w:rPr>
              <w:t>、</w:t>
            </w:r>
            <w:r>
              <w:rPr>
                <w:rStyle w:val="20"/>
                <w:rFonts w:ascii="Times New Roman" w:hAnsi="Times New Roman" w:cs="Times New Roman"/>
                <w:color w:val="000000" w:themeColor="text1"/>
                <w:kern w:val="2"/>
                <w14:textFill>
                  <w14:solidFill>
                    <w14:schemeClr w14:val="tx1"/>
                  </w14:solidFill>
                </w14:textFill>
              </w:rPr>
              <w:commentReference w:id="1"/>
            </w:r>
            <w:r>
              <w:rPr>
                <w:rFonts w:hint="eastAsia" w:ascii="仿宋" w:hAnsi="仿宋" w:eastAsia="仿宋" w:cs="Times New Roman"/>
                <w:color w:val="000000" w:themeColor="text1"/>
                <w:sz w:val="21"/>
                <w:szCs w:val="21"/>
                <w14:textFill>
                  <w14:solidFill>
                    <w14:schemeClr w14:val="tx1"/>
                  </w14:solidFill>
                </w14:textFill>
              </w:rPr>
              <w:t>与其他比选申请人比较情况等就比选申请人书面说明进行审查评价。比选申请人拒绝或者变相拒绝提供有效书面说明或者书面说明不能证明其报价合理性的，评标小组应当将其投标文件作为无效投标处理。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ascii="仿宋" w:hAnsi="仿宋" w:eastAsia="仿宋"/>
                <w:color w:val="000000" w:themeColor="text1"/>
                <w:kern w:val="0"/>
                <w:sz w:val="24"/>
                <w:szCs w:val="24"/>
                <w14:textFill>
                  <w14:solidFill>
                    <w14:schemeClr w14:val="tx1"/>
                  </w14:solidFill>
                </w14:textFill>
              </w:rPr>
            </w:pPr>
            <w:r>
              <w:rPr>
                <w:rFonts w:hint="eastAsia" w:ascii="仿宋" w:hAnsi="仿宋" w:eastAsia="仿宋"/>
                <w:color w:val="000000" w:themeColor="text1"/>
                <w:kern w:val="0"/>
                <w:sz w:val="24"/>
                <w:szCs w:val="24"/>
                <w14:textFill>
                  <w14:solidFill>
                    <w14:schemeClr w14:val="tx1"/>
                  </w14:solidFill>
                </w14:textFill>
              </w:rPr>
              <w:t>31</w:t>
            </w:r>
          </w:p>
        </w:tc>
        <w:tc>
          <w:tcPr>
            <w:tcW w:w="2700" w:type="dxa"/>
            <w:tcBorders>
              <w:top w:val="single" w:color="auto" w:sz="4" w:space="0"/>
              <w:left w:val="nil"/>
              <w:bottom w:val="single" w:color="auto" w:sz="4" w:space="0"/>
              <w:right w:val="single" w:color="auto" w:sz="4" w:space="0"/>
            </w:tcBorders>
            <w:vAlign w:val="center"/>
          </w:tcPr>
          <w:p>
            <w:pPr>
              <w:pStyle w:val="32"/>
              <w:snapToGrid w:val="0"/>
              <w:spacing w:line="320" w:lineRule="exact"/>
              <w:ind w:left="142" w:right="141" w:rightChars="67"/>
              <w:jc w:val="center"/>
              <w:rPr>
                <w:rFonts w:ascii="仿宋" w:hAnsi="仿宋" w:eastAsia="仿宋" w:cs="Times New Roman"/>
                <w:color w:val="000000" w:themeColor="text1"/>
                <w:kern w:val="2"/>
                <w:sz w:val="22"/>
                <w:szCs w:val="22"/>
                <w14:textFill>
                  <w14:solidFill>
                    <w14:schemeClr w14:val="tx1"/>
                  </w14:solidFill>
                </w14:textFill>
              </w:rPr>
            </w:pPr>
            <w:r>
              <w:rPr>
                <w:rFonts w:hint="eastAsia" w:ascii="仿宋" w:hAnsi="仿宋" w:eastAsia="仿宋" w:cs="Times New Roman"/>
                <w:color w:val="000000" w:themeColor="text1"/>
                <w:kern w:val="2"/>
                <w:sz w:val="22"/>
                <w:szCs w:val="22"/>
                <w14:textFill>
                  <w14:solidFill>
                    <w14:schemeClr w14:val="tx1"/>
                  </w14:solidFill>
                </w14:textFill>
              </w:rPr>
              <w:t>监督部门</w:t>
            </w:r>
          </w:p>
        </w:tc>
        <w:tc>
          <w:tcPr>
            <w:tcW w:w="5797" w:type="dxa"/>
            <w:tcBorders>
              <w:top w:val="single" w:color="auto" w:sz="4" w:space="0"/>
              <w:left w:val="nil"/>
              <w:bottom w:val="single" w:color="auto" w:sz="4" w:space="0"/>
              <w:right w:val="single" w:color="auto" w:sz="4" w:space="0"/>
            </w:tcBorders>
            <w:vAlign w:val="center"/>
          </w:tcPr>
          <w:p>
            <w:pPr>
              <w:pStyle w:val="8"/>
              <w:spacing w:line="360" w:lineRule="auto"/>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招标工作将公开接受社会监督。</w:t>
            </w:r>
          </w:p>
          <w:p>
            <w:pPr>
              <w:pStyle w:val="8"/>
              <w:spacing w:line="360" w:lineRule="auto"/>
              <w:rPr>
                <w:rFonts w:ascii="仿宋" w:hAnsi="仿宋" w:eastAsia="仿宋" w:cs="Times New Roman"/>
                <w:color w:val="000000" w:themeColor="text1"/>
                <w:kern w:val="0"/>
                <w14:textFill>
                  <w14:solidFill>
                    <w14:schemeClr w14:val="tx1"/>
                  </w14:solidFill>
                </w14:textFill>
              </w:rPr>
            </w:pPr>
            <w:r>
              <w:rPr>
                <w:rFonts w:hint="eastAsia" w:ascii="仿宋" w:hAnsi="仿宋" w:eastAsia="仿宋" w:cs="Times New Roman"/>
                <w:color w:val="000000" w:themeColor="text1"/>
                <w:kern w:val="0"/>
                <w14:textFill>
                  <w14:solidFill>
                    <w14:schemeClr w14:val="tx1"/>
                  </w14:solidFill>
                </w14:textFill>
              </w:rPr>
              <w:t>四川成渝高速公路股份有限公司成渝分公司</w:t>
            </w:r>
          </w:p>
          <w:p>
            <w:pPr>
              <w:autoSpaceDE w:val="0"/>
              <w:autoSpaceDN w:val="0"/>
              <w:spacing w:line="360" w:lineRule="auto"/>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地</w:t>
            </w:r>
            <w:r>
              <w:rPr>
                <w:rFonts w:ascii="仿宋" w:hAnsi="仿宋" w:eastAsia="仿宋"/>
                <w:color w:val="000000" w:themeColor="text1"/>
                <w:kern w:val="0"/>
                <w14:textFill>
                  <w14:solidFill>
                    <w14:schemeClr w14:val="tx1"/>
                  </w14:solidFill>
                </w14:textFill>
              </w:rPr>
              <w:t xml:space="preserve">    </w:t>
            </w:r>
            <w:r>
              <w:rPr>
                <w:rFonts w:hint="eastAsia" w:ascii="仿宋" w:hAnsi="仿宋" w:eastAsia="仿宋"/>
                <w:color w:val="000000" w:themeColor="text1"/>
                <w:kern w:val="0"/>
                <w14:textFill>
                  <w14:solidFill>
                    <w14:schemeClr w14:val="tx1"/>
                  </w14:solidFill>
                </w14:textFill>
              </w:rPr>
              <w:t>址：四川省成都市成华区迎晖路8号</w:t>
            </w:r>
          </w:p>
          <w:p>
            <w:pPr>
              <w:autoSpaceDE w:val="0"/>
              <w:autoSpaceDN w:val="0"/>
              <w:spacing w:line="360" w:lineRule="auto"/>
              <w:rPr>
                <w:rFonts w:ascii="仿宋" w:hAnsi="仿宋" w:eastAsia="仿宋"/>
                <w:color w:val="000000" w:themeColor="text1"/>
                <w:kern w:val="0"/>
                <w14:textFill>
                  <w14:solidFill>
                    <w14:schemeClr w14:val="tx1"/>
                  </w14:solidFill>
                </w14:textFill>
              </w:rPr>
            </w:pPr>
            <w:r>
              <w:rPr>
                <w:rFonts w:hint="eastAsia" w:ascii="仿宋" w:hAnsi="仿宋" w:eastAsia="仿宋"/>
                <w:color w:val="000000" w:themeColor="text1"/>
                <w:kern w:val="0"/>
                <w14:textFill>
                  <w14:solidFill>
                    <w14:schemeClr w14:val="tx1"/>
                  </w14:solidFill>
                </w14:textFill>
              </w:rPr>
              <w:t>电</w:t>
            </w:r>
            <w:r>
              <w:rPr>
                <w:rFonts w:ascii="仿宋" w:hAnsi="仿宋" w:eastAsia="仿宋"/>
                <w:color w:val="000000" w:themeColor="text1"/>
                <w:kern w:val="0"/>
                <w14:textFill>
                  <w14:solidFill>
                    <w14:schemeClr w14:val="tx1"/>
                  </w14:solidFill>
                </w14:textFill>
              </w:rPr>
              <w:t xml:space="preserve">    </w:t>
            </w:r>
            <w:r>
              <w:rPr>
                <w:rFonts w:hint="eastAsia" w:ascii="仿宋" w:hAnsi="仿宋" w:eastAsia="仿宋"/>
                <w:color w:val="000000" w:themeColor="text1"/>
                <w:kern w:val="0"/>
                <w14:textFill>
                  <w14:solidFill>
                    <w14:schemeClr w14:val="tx1"/>
                  </w14:solidFill>
                </w14:textFill>
              </w:rPr>
              <w:t>话：028-84082262</w:t>
            </w:r>
          </w:p>
          <w:p>
            <w:pPr>
              <w:pStyle w:val="32"/>
              <w:snapToGrid w:val="0"/>
              <w:spacing w:line="320" w:lineRule="exact"/>
              <w:ind w:right="158" w:rightChars="75"/>
              <w:jc w:val="both"/>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邮政编码：610000</w:t>
            </w:r>
          </w:p>
        </w:tc>
      </w:tr>
    </w:tbl>
    <w:p>
      <w:pPr>
        <w:pStyle w:val="8"/>
        <w:spacing w:line="360" w:lineRule="auto"/>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br w:type="page"/>
      </w: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360" w:lineRule="auto"/>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第三章 评标办法</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360" w:lineRule="auto"/>
        <w:ind w:firstLine="3520" w:firstLineChars="800"/>
        <w:rPr>
          <w:rFonts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14:textFill>
            <w14:solidFill>
              <w14:schemeClr w14:val="tx1"/>
            </w14:solidFill>
          </w14:textFill>
        </w:rPr>
        <w:t>评标办法</w:t>
      </w:r>
    </w:p>
    <w:p>
      <w:pPr>
        <w:pStyle w:val="21"/>
        <w:ind w:left="2570" w:leftChars="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1.总则</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1.1参照《中华人民共和国政府采购法》等法律制度，结合本服务项目需求、特点制定评标办法。</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1.2评标工作由比选人负责组织，具体评标事务由比选人依法组建的评标小组负责。评标小组由比选人代表和相关负责人组成。</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1.3评标工作应遵循公平、公正、科学及择优的原则，并以相同的评标程序和标准对待所有的比选申请人。</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1.4评标小组按照比选文件规定的评标方法和标准进行评标，并独立履行下列职责：</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bookmarkStart w:id="3" w:name="_Toc217446098"/>
      <w:bookmarkEnd w:id="3"/>
      <w:r>
        <w:rPr>
          <w:rFonts w:hint="eastAsia" w:ascii="仿宋" w:hAnsi="仿宋" w:eastAsia="仿宋"/>
          <w:color w:val="000000" w:themeColor="text1"/>
          <w:sz w:val="24"/>
          <w:szCs w:val="24"/>
          <w14:textFill>
            <w14:solidFill>
              <w14:schemeClr w14:val="tx1"/>
            </w14:solidFill>
          </w14:textFill>
        </w:rPr>
        <w:t>（一）熟悉和理解比选文件；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（二）审查投标文件等是否满足比选文件要求，并作出评价；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（三）向比选人、监督部门报告非法干预评标工作的行为；</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（四）法律、法规和规章规定的其他职责。</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1.5评标过程独立、保密。比选申请人非法干预评标审过程的行为将导致其投标文件作为无效处理。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1.6评标小组根据比选申请人提交的要求其澄清、说明或者更正而提供的资料外，仅依据投标文件本身的内容，不寻求其他外部证据。</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2.评标方法</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本项目评标方法为：</w:t>
      </w:r>
      <w:r>
        <w:rPr>
          <w:rFonts w:hint="eastAsia" w:ascii="仿宋" w:hAnsi="仿宋" w:eastAsia="仿宋" w:cs="Times New Roman"/>
          <w:color w:val="000000" w:themeColor="text1"/>
          <w:sz w:val="24"/>
          <w:szCs w:val="24"/>
          <w14:textFill>
            <w14:solidFill>
              <w14:schemeClr w14:val="tx1"/>
            </w14:solidFill>
          </w14:textFill>
        </w:rPr>
        <w:t>经评审最低投标价法</w:t>
      </w:r>
      <w:r>
        <w:rPr>
          <w:rFonts w:hint="eastAsia" w:ascii="仿宋" w:hAnsi="仿宋" w:eastAsia="仿宋"/>
          <w:color w:val="000000" w:themeColor="text1"/>
          <w:sz w:val="24"/>
          <w:szCs w:val="24"/>
          <w14:textFill>
            <w14:solidFill>
              <w14:schemeClr w14:val="tx1"/>
            </w14:solidFill>
          </w14:textFill>
        </w:rPr>
        <w:t>。</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2.1评标小组将确定每一投标人是否对招标文件的要求做出了实质性的响应，而没有重大偏离。实质性响应的投标是指符合招标文件的所有条款、条件和规定且没有重大偏离或保留。</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2.2评标小组允许投标人修改投标文件中不构成重大偏离的、微小的、非正规、不一致或不规则的地方。但是修改的内容不能改变投标文件的实质性内容，投标人修改的内容以书面文件为准。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2.3评标小组将拒绝被确定为非实质性响应的投标文件，投标人不能通过修正或撤销投标文件中的不符之处而使其投标成为实质性响应的投标。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2.4评标小组对各投标人的投标报价比例进行评审。评标小组发现投标人的报价比例高于最高投标限价，评标小组将其投标作为废标处理。评标小组发现投标人的报价明显低于其他投标报价，使其投标报价可能低于其个别成本的，应当要求该投标人作出书面说明并提供相关证明材料，投标人不能合理说明或者不能提供相关证明材料，由评标小组认定该投标人以低于成本报价竞标，其投标作为无效投标处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3.评标程序</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bookmarkStart w:id="4" w:name="_Toc217446103"/>
      <w:bookmarkEnd w:id="4"/>
      <w:r>
        <w:rPr>
          <w:rFonts w:hint="eastAsia" w:ascii="仿宋" w:hAnsi="仿宋" w:eastAsia="仿宋"/>
          <w:color w:val="000000" w:themeColor="text1"/>
          <w:sz w:val="24"/>
          <w:szCs w:val="24"/>
          <w14:textFill>
            <w14:solidFill>
              <w14:schemeClr w14:val="tx1"/>
            </w14:solidFill>
          </w14:textFill>
        </w:rPr>
        <w:t>3.1熟悉和理解比选文件和停止评标。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3.1.1</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正式评标前，应当对比选文件进行熟悉和理解，内容主要包括比选文件中比选申请人资格条件要求、项目技术、服务和商务要求、评标方法和标准等。</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3.1.</w:t>
      </w: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出现本条规定应当停止评标情形的，</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成员应当向比选人说明情况。除本条规定和评标小组无法依法组建的情形外，</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成员不得以任何方式和理由停止评标。</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3.2资格性检查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应依据法律法规和本比选文件的规定，对投标文件是否按照规定要求提供资格性证明材料的比选申请人等进行审查，以确定比选申请人是否具备比选资格。</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3.3符合性检查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3.3.1</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依据本比选文件的实质性要求，对符合资格的投标文件进行审查，以确定其是否满足本比选文件的实质性要求。本项目符合性审查事项仅限于本比选文件的明确规定。投标文件是否满足比选文件的实质性要求，必须以本比选文件的明确规定作为依据，否则，不能对投标文件作为无效处理，</w:t>
      </w:r>
      <w:r>
        <w:rPr>
          <w:rFonts w:hint="eastAsia" w:ascii="仿宋" w:hAnsi="仿宋" w:eastAsia="仿宋"/>
          <w:bCs/>
          <w:color w:val="000000" w:themeColor="text1"/>
          <w:sz w:val="24"/>
          <w:szCs w:val="24"/>
          <w14:textFill>
            <w14:solidFill>
              <w14:schemeClr w14:val="tx1"/>
            </w14:solidFill>
          </w14:textFill>
        </w:rPr>
        <w:t>评标小组</w:t>
      </w:r>
      <w:r>
        <w:rPr>
          <w:rFonts w:hint="eastAsia" w:ascii="仿宋" w:hAnsi="仿宋" w:eastAsia="仿宋"/>
          <w:color w:val="000000" w:themeColor="text1"/>
          <w:sz w:val="24"/>
          <w:szCs w:val="24"/>
          <w14:textFill>
            <w14:solidFill>
              <w14:schemeClr w14:val="tx1"/>
            </w14:solidFill>
          </w14:textFill>
        </w:rPr>
        <w:t>不得臆测符合性审查事项。</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3.3.</w:t>
      </w:r>
      <w:r>
        <w:rPr>
          <w:rFonts w:hint="eastAsia" w:ascii="仿宋" w:hAnsi="仿宋" w:eastAsia="仿宋"/>
          <w:color w:val="000000" w:themeColor="text1"/>
          <w:sz w:val="24"/>
          <w:szCs w:val="24"/>
          <w:lang w:val="en-US" w:eastAsia="zh-CN"/>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除法律制度规定的情形外，本项目比选申请人或者其投标文件有下列情形之一的，作为无效比选文件处理：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（一）投标文件正副本数量不足的；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（二）投标文件组成明显不符合比选文件的规定要求，影响评标小组评判的；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（三）投标文件的格式、语言、计量单位、比选有效期等不符合比选文件的规定，影响评标小组评判的；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（四）投标报价比例不符合比选文件规定的报价比例和其他报价规定的；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（五）比选文件有明确要求，但投标文件未载明或者载明的服务项目履约时间、方式、数量与比选文件要求不一致的。</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3.4比较与评价。按比选文件中规定的</w:t>
      </w:r>
      <w:r>
        <w:rPr>
          <w:rFonts w:hint="eastAsia" w:ascii="仿宋" w:hAnsi="仿宋" w:eastAsia="仿宋"/>
          <w:bCs/>
          <w:color w:val="000000" w:themeColor="text1"/>
          <w:sz w:val="24"/>
          <w:szCs w:val="24"/>
          <w14:textFill>
            <w14:solidFill>
              <w14:schemeClr w14:val="tx1"/>
            </w14:solidFill>
          </w14:textFill>
        </w:rPr>
        <w:t>评标</w:t>
      </w:r>
      <w:r>
        <w:rPr>
          <w:rFonts w:hint="eastAsia" w:ascii="仿宋" w:hAnsi="仿宋" w:eastAsia="仿宋"/>
          <w:color w:val="000000" w:themeColor="text1"/>
          <w:sz w:val="24"/>
          <w:szCs w:val="24"/>
          <w14:textFill>
            <w14:solidFill>
              <w14:schemeClr w14:val="tx1"/>
            </w14:solidFill>
          </w14:textFill>
        </w:rPr>
        <w:t>方法和标准，对未作无效处理的投标文件进行技术、服务、商务等方面评估，综合比较与评价。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3.5评标争议处理规则。评标小组在评标过程中，对于资格性审查、符合性审查、对投标文件做无效处理及其他需要共同认定的事项存在争议的，应当以少数服从多数的原则做出结论，但不得违背法律法规和比选文件规定。有不同意见的评标小组成员认为认定过程和结果不符合法律法规或者比选文件规定的，应当及时向比选人书面反映。</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3.6在评标过程中，投标文件实质性符合比选文件要求的前提下，评标小组对投标文件中含义不明确、同类问题表述不一致或者有明显文字错误的内容，应当以书面形式（须由评标小组全体成员签字）要求比选申请人作出必要的书面澄清、说明或者更正，并给予比选申请人必要的反馈时间。</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3.7比选申请人应当书面澄清、说明或者更正，并加盖公章或签字确认比选申请人为法人的，应当由其法定代表人或者代理人签字确认；比选申请人为自然人的，应当由其本人或者代理人签字确认，否则无效。</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3.8评标小组要求比选申请人澄清、说明或者更正，不得超出比选文件的范围，不得以此让比选申请人实质改变投标文件的内容，不得影响公平竞争。</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3.9低于成本价报价处理。在评标过程中，评标小组发现投标人的报价明显低于其他投标报价，使其投标报价可能低于其个别成本的，有可能影响产品质量或者不能诚信履约的，评标小组应当要求其在评标现场合理的时间内提供成本构成书面说明，并提交相关证明材料。比选申请人书面说明应当按照国家财务会计制度的规定要求，逐项就比选申请人提供的货物、工程和服务的主营业务成本（应根据比选申请人企业类型予以区别）、税金及附加、销售费用、管理费用、财务费用等成本构成事项详细陈述。</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比选申请人书面说明应当签字确认或者加盖公章，否则无效。书面说明的签字确认，比选申请人为法人的，由其法定代表人或者代理人签字确认；比选申请人为自然人的，由其本人或者代理人签字确认。</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bookmarkStart w:id="5" w:name="_Toc469324647"/>
      <w:bookmarkEnd w:id="5"/>
      <w:bookmarkStart w:id="6" w:name="_Toc477957403"/>
      <w:bookmarkEnd w:id="6"/>
      <w:bookmarkStart w:id="7" w:name="_Toc469324719"/>
      <w:r>
        <w:rPr>
          <w:rFonts w:hint="eastAsia" w:ascii="仿宋" w:hAnsi="仿宋" w:eastAsia="仿宋"/>
          <w:b/>
          <w:bCs/>
          <w:color w:val="000000" w:themeColor="text1"/>
          <w:sz w:val="24"/>
          <w:szCs w:val="24"/>
          <w14:textFill>
            <w14:solidFill>
              <w14:schemeClr w14:val="tx1"/>
            </w14:solidFill>
          </w14:textFill>
        </w:rPr>
        <w:t>3.算数性修正</w:t>
      </w:r>
      <w:bookmarkEnd w:id="7"/>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本项目只允许投标人填报投标报价比例，其维修保养清单中的业主估算单价不允许更改，故无需进行算数修正。</w:t>
      </w:r>
    </w:p>
    <w:p>
      <w:pPr>
        <w:pStyle w:val="21"/>
        <w:rPr>
          <w:rFonts w:ascii="仿宋" w:hAnsi="仿宋" w:eastAsia="仿宋"/>
          <w:color w:val="000000" w:themeColor="text1"/>
          <w14:textFill>
            <w14:solidFill>
              <w14:schemeClr w14:val="tx1"/>
            </w14:solidFill>
          </w14:textFill>
        </w:rPr>
      </w:pPr>
    </w:p>
    <w:p>
      <w:pPr>
        <w:pStyle w:val="29"/>
        <w:snapToGrid w:val="0"/>
        <w:ind w:firstLine="480"/>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32"/>
          <w:szCs w:val="32"/>
          <w14:textFill>
            <w14:solidFill>
              <w14:schemeClr w14:val="tx1"/>
            </w14:solidFill>
          </w14:textFill>
        </w:rPr>
      </w:pPr>
      <w:bookmarkStart w:id="8" w:name="_Toc477957406"/>
      <w:bookmarkEnd w:id="8"/>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2240" w:firstLineChars="7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 xml:space="preserve"> </w:t>
      </w: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p>
    <w:p>
      <w:pPr>
        <w:snapToGrid w:val="0"/>
        <w:spacing w:line="360" w:lineRule="auto"/>
        <w:ind w:firstLine="1760" w:firstLineChars="4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第四章 维修保养清单</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bookmarkStart w:id="9" w:name="_Toc217446094"/>
      <w:bookmarkEnd w:id="9"/>
      <w:bookmarkStart w:id="10" w:name="_Toc477957407"/>
      <w:r>
        <w:rPr>
          <w:rFonts w:hint="eastAsia" w:ascii="仿宋" w:hAnsi="仿宋" w:eastAsia="仿宋"/>
          <w:b/>
          <w:color w:val="000000" w:themeColor="text1"/>
          <w14:textFill>
            <w14:solidFill>
              <w14:schemeClr w14:val="tx1"/>
            </w14:solidFill>
          </w14:textFill>
        </w:rPr>
        <w:t xml:space="preserve"> </w:t>
      </w:r>
      <w:bookmarkEnd w:id="10"/>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hint="eastAsia" w:ascii="仿宋" w:hAnsi="仿宋" w:eastAsia="仿宋"/>
          <w:b/>
          <w:color w:val="000000" w:themeColor="text1"/>
          <w14:textFill>
            <w14:solidFill>
              <w14:schemeClr w14:val="tx1"/>
            </w14:solidFill>
          </w14:textFill>
        </w:rPr>
      </w:pP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pStyle w:val="28"/>
        <w:snapToGrid w:val="0"/>
        <w:spacing w:before="312" w:beforeLines="100" w:after="156" w:afterLines="50" w:line="360" w:lineRule="exact"/>
        <w:ind w:firstLine="482"/>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 xml:space="preserve">   </w:t>
      </w:r>
    </w:p>
    <w:p>
      <w:pPr>
        <w:snapToGrid w:val="0"/>
        <w:spacing w:line="360" w:lineRule="auto"/>
        <w:ind w:firstLine="2640" w:firstLineChars="600"/>
        <w:rPr>
          <w:rFonts w:ascii="仿宋" w:hAnsi="仿宋" w:eastAsia="仿宋"/>
          <w:b/>
          <w:color w:val="000000" w:themeColor="text1"/>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维修保养清单</w:t>
      </w:r>
    </w:p>
    <w:p>
      <w:pPr>
        <w:pStyle w:val="28"/>
        <w:snapToGrid w:val="0"/>
        <w:spacing w:before="312" w:beforeLines="100" w:after="156" w:afterLines="50" w:line="360" w:lineRule="exact"/>
        <w:ind w:firstLine="0" w:firstLineChars="0"/>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一、维修保养清单说明</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四川成渝高速公路股份有限公司成渝分公司成都管理处龙泉</w:t>
      </w:r>
      <w:r>
        <w:rPr>
          <w:rFonts w:hint="eastAsia" w:ascii="仿宋" w:hAnsi="仿宋" w:eastAsia="仿宋"/>
          <w:color w:val="000000" w:themeColor="text1"/>
          <w:sz w:val="24"/>
          <w:szCs w:val="24"/>
          <w:lang w:val="en-US" w:eastAsia="zh-CN"/>
          <w14:textFill>
            <w14:solidFill>
              <w14:schemeClr w14:val="tx1"/>
            </w14:solidFill>
          </w14:textFill>
        </w:rPr>
        <w:t>片区</w:t>
      </w:r>
      <w:r>
        <w:rPr>
          <w:rFonts w:hint="eastAsia" w:ascii="仿宋" w:hAnsi="仿宋" w:eastAsia="仿宋"/>
          <w:color w:val="000000" w:themeColor="text1"/>
          <w:sz w:val="24"/>
          <w:szCs w:val="24"/>
          <w14:textFill>
            <w14:solidFill>
              <w14:schemeClr w14:val="tx1"/>
            </w14:solidFill>
          </w14:textFill>
        </w:rPr>
        <w:t>车辆维修保养共重（中）型专项作业车、轻型货车、中（大）型普通客车等多种车型，为维护日常安全生产秩序，保证车辆运行状态良好，针对车辆品牌多样性、配件专用性等自身特点，拟将成渝分公司成都管理处龙泉片区车辆维修保养委托专业维修单位按要求进行日常（二级）保养、故障抢修等服务。现以比选方式确定</w:t>
      </w:r>
      <w:r>
        <w:rPr>
          <w:rFonts w:hint="eastAsia" w:ascii="仿宋" w:hAnsi="仿宋" w:eastAsia="仿宋"/>
          <w:color w:val="000000" w:themeColor="text1"/>
          <w:sz w:val="24"/>
          <w:szCs w:val="24"/>
          <w:lang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家服务商提供年度车辆定点维修保养服务，本项目共</w:t>
      </w:r>
      <w:r>
        <w:rPr>
          <w:rFonts w:hint="eastAsia" w:ascii="仿宋" w:hAnsi="仿宋" w:eastAsia="仿宋"/>
          <w:color w:val="000000" w:themeColor="text1"/>
          <w:sz w:val="24"/>
          <w:szCs w:val="24"/>
          <w:lang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个标段，根据市场调研汽车维修价格作为业主估算单价，本次招标以报价比例的方式进行报价，且不能高于比选人公布的最高投标限价。</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1.服务范围</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次为成渝分公司成都管理处服务项目招标。主要服务内容为龙泉片区12辆车，包括轻型普通货车、中型专业作业车、中型普通客车、大型普通客车、重型专业作业车日常保养、二级保养、日常维修、故障抢险以及合同条款中约定的其他服务内容（合同期限内如新增车辆为合同中约定车型，按合同清单计量结算，如超出合同约定车型，由比选人告知中标人，就新增车辆维修保养单价进行报价申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本项目共</w:t>
      </w:r>
      <w:r>
        <w:rPr>
          <w:rFonts w:hint="eastAsia" w:ascii="仿宋" w:hAnsi="仿宋" w:eastAsia="仿宋"/>
          <w:color w:val="000000" w:themeColor="text1"/>
          <w:sz w:val="24"/>
          <w:szCs w:val="24"/>
          <w:lang w:eastAsia="zh-CN"/>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 xml:space="preserve">个标段，具体内容如下：        </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CDGLC-LQCL标段：成渝高速公路成都处龙泉片区车辆定点维修保养</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2.服务要求</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（1）应保证比选人要求优先，及时、保质、保量提供维修服务，保证原厂配件和维修质量，并在约定的期限内向送修人交付修竣车辆。</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（2）维修产品要求：一律使用正规厂家提供的零配件，投标人应当记录配件采购、使用信息，查验产品合格证等相关证明，并按规定留存配件来源凭证。</w:t>
      </w:r>
    </w:p>
    <w:p>
      <w:pPr>
        <w:spacing w:line="400" w:lineRule="exact"/>
        <w:ind w:firstLine="48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维修保养单位根据送修单位出具的“车辆维修申请单”（特殊情况可修后补办）上注明的问题，依据相关标准和维修手册对车辆进行检测，检测完毕后确定切合实际的维修方案，在征得送修单位同意后按维修方案实施维修（维修方案因实际情况改变须征得送修方同意），维修竣工后在打印的维修清单上注明详细维修清单明细、维修工时费、材料费、完成维修的时间、维修总金额等内容，材料管理费必须在维修清单中明确单独列出，并通知送修单位前来办理车辆交接手续，维修保养单位出具维修出厂合格证和维修清单，送修方仔细检查竣工车辆，若无异议在维修清单上签字确认。</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维修保养单位负责维修期间的车辆安全和维修质量。在车辆维修期间发生失火、被盗及其它损失，由维修保养单位承担一切后果并赔偿送修单位损失，经维修合格出厂的车辆按《机动车维修管理规定》执行。若送修单位对车辆维修质量有异议，可以书面形式向维修保养单位提出，若维修保养单位不能给予令人信服的答复，送修单位可报请法定检验机构进行鉴定。维修质量符合标准的，鉴定费由送修方承担；维修质量不符合质量标准的，鉴定费由维修保养单位承担。</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（5）维修保养单位须严格执行中标收费价格，对超出送修范围的项目和超出成交价格的收费，送修单位有权拒绝结算。如有新增项目应以文件形式进行申请。</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（6）维修保养单位为送修单位定点维修的车辆定期免费检测调整制动、灯光、空调等系统设施。</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（7）由于技术及其它原因，维修保养单位不能维修的车辆，维修保养单位应向送修单位来函说明原因，并由维修保养单位联系具有资质的定点维修外的企业并征得送修单位同意后进行维修。</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（8）维修保养单位应严格遵守《中华人民共和国交通运输行业标准机动车维修服务规范》JT/T816-2011、《交通运输部关于修改&lt;机动车维修管理规定&gt;的决定（交通运输部令2019年第20号）》等相关规定。</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9）售后服务：a.维修保养单位应有完善的技术支持与服务体系，专人负责与送修单位联系售后服务事宜，必要的售后机具配置、具有专门的服务电话。b.提供7×24小时的技术支持服务，配置专门固定的售后服务电话。接到采购人系统故障报修应2小时内响应。c.故障问题解决后24小时内，向送修单位提交问题处理报告，说明问题种类、问题原因、问题解决中使用的方法及造成的损失等情况。d.维修保养单位针对本项目提供的其他有利于项目售后保障措施。</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3.保修期</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保修期内，因维修质量造成的一切损失与责任由维修保养单位承担（如：异响，漏风，漏电，漏油，钣金间隙不对，油漆起皮麻点多、橘皮重等）在保修期内，车辆因同一故障或者维修项目经两次修理仍不能正常使用的，双方应协商确定其他机动车维修经营者进行修理，相应修理费用由比选申请人承担。</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2）发现替换件以次充好，弄虚作假的，需按照约定材料进行更换，并扣除当次维修费用总金额10%，依次增加。未经送修单位指定人员确认签字的，私自拆装、维修的，不予结算，且因此造成的损失由承修方全部承担。维修手续清单等相关材料缺失的，不予结算，且因此造成的损失由承修方全部承担。 </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维修保养单位必须保证车辆维修质量。维修车辆出厂前，维修保养单位必须进行质量检定。在保修期内，因维修质量造成相应配件费用及工时费用，由维修保养单位负责。维修出厂车辆质量保证里程为：a.整车修理或者总成修理质量保证期为车辆行驶一万五千公里或者一百日。b.二级维护质量保证期为车辆行驶五千公里或者三十日。c.一级维护、小修及专项修理质量保障期为车辆行驶二千公里或者十日。</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验收标准：国家有关规定以及采购文件的质量要求和技术指标、比选申请人的投标文件及承诺与本合同约定标准进行验收；送修单位与维修保养单位双方如对质量要求和技术指标的约定标准有相互抵触或异议的事项，由维修保养单位在采购文件及投标文件中按质量要求和技术指标比较优胜的原则确定该项的约定标准进行验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（5）其余未尽事宜按双方签订的合同为准。</w:t>
      </w:r>
    </w:p>
    <w:p>
      <w:pPr>
        <w:spacing w:line="400" w:lineRule="exact"/>
        <w:ind w:firstLine="482" w:firstLineChars="2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4.结算与支付</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付款方式：按月据实结算支付。维修保养单位执更换配件（材料）、工时明细表、对应金额的正规发票等付款申请材料，向送修单位提出结账申请。双方根据合同约定核算上月的维修保养费用，送修单位将维修保养单位接车人员与送修单位相关负责人签字确认的月度维修结算清单进行审签，并于每月25日前将上月维修金额转至比选人银行基本账户。维修保养单位未能按时、完整的提供付款申请材料的，付款时间顺延。</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（2）维修保养单位向送修单位出具正规发票（国家增值税发票普票）及凭证资料进行结算。</w:t>
      </w:r>
    </w:p>
    <w:p>
      <w:pPr>
        <w:spacing w:line="400" w:lineRule="exact"/>
        <w:ind w:firstLine="480" w:firstLineChars="200"/>
        <w:rPr>
          <w:rFonts w:ascii="仿宋" w:hAnsi="仿宋" w:eastAsia="仿宋"/>
          <w:color w:val="000000" w:themeColor="text1"/>
          <w:sz w:val="24"/>
          <w:szCs w:val="24"/>
          <w14:textFill>
            <w14:solidFill>
              <w14:schemeClr w14:val="tx1"/>
            </w14:solidFill>
          </w14:textFill>
        </w:rPr>
        <w:sectPr>
          <w:footerReference r:id="rId7" w:type="default"/>
          <w:pgSz w:w="11906" w:h="16838"/>
          <w:pgMar w:top="1440" w:right="2125" w:bottom="1440" w:left="1800" w:header="851" w:footer="992" w:gutter="0"/>
          <w:pgNumType w:fmt="numberInDash"/>
          <w:cols w:space="720" w:num="1"/>
          <w:docGrid w:type="lines" w:linePitch="312" w:charSpace="0"/>
        </w:sectPr>
      </w:pPr>
    </w:p>
    <w:p>
      <w:pPr>
        <w:pStyle w:val="28"/>
        <w:snapToGrid w:val="0"/>
        <w:spacing w:after="156" w:afterLines="50" w:line="360" w:lineRule="exact"/>
        <w:ind w:firstLine="0" w:firstLineChars="0"/>
        <w:jc w:val="center"/>
        <w:rPr>
          <w:rFonts w:ascii="宋体" w:hAnsi="宋体"/>
          <w:b/>
          <w:bCs/>
          <w:color w:val="000000" w:themeColor="text1"/>
          <w14:textFill>
            <w14:solidFill>
              <w14:schemeClr w14:val="tx1"/>
            </w14:solidFill>
          </w14:textFill>
        </w:rPr>
      </w:pPr>
      <w:r>
        <w:rPr>
          <w:rFonts w:hint="eastAsia" w:ascii="仿宋" w:hAnsi="仿宋" w:eastAsia="仿宋"/>
          <w:b/>
          <w:bCs/>
          <w:color w:val="000000" w:themeColor="text1"/>
          <w:sz w:val="36"/>
          <w:szCs w:val="36"/>
          <w14:textFill>
            <w14:solidFill>
              <w14:schemeClr w14:val="tx1"/>
            </w14:solidFill>
          </w14:textFill>
        </w:rPr>
        <w:t>二、维修保养清单</w:t>
      </w:r>
    </w:p>
    <w:p>
      <w:pPr>
        <w:pStyle w:val="2"/>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车型：江西五十铃（轻型普通货车）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车牌：川GA9G79 川A1G82X 川GA4F6L3</w:t>
      </w:r>
    </w:p>
    <w:tbl>
      <w:tblPr>
        <w:tblStyle w:val="16"/>
        <w:tblW w:w="7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2250"/>
        <w:gridCol w:w="833"/>
        <w:gridCol w:w="606"/>
        <w:gridCol w:w="128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9" w:hRule="atLeast"/>
          <w:jc w:val="center"/>
        </w:trPr>
        <w:tc>
          <w:tcPr>
            <w:tcW w:w="131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88"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2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更换空气格</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更换油水分离器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更换正时套装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更换水箱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更换电子扇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更换曲轴前油封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更换曲轴后油封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更换凸轮轴油封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更换发电机皮带</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研磨气门缸盖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煮洗缸体缸盖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拆解更换发动机总成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更换气门挺杆</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更换回水壶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更换发动机进水管密封圈</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更换压缩机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更换蒸发箱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更换冷凝器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清洗空调管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抽空加氟</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空调加压查漏</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更换变速箱油（手动）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更换离合三件套</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更换离合器总泵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更换传动轴十字节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更换前轮刹车盘</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更换后轮刹车鼓</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更换刹车分泵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拆装清洗颗粒捕捉器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焊补排气管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四轮定位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更换前轮上支臂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拆装轮胎防爆装置</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修补更换轮胎</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轮胎动平衡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更换排挡机构</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调整离合行程</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更换灯泡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更换前大灯总成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更换尾灯总成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警灯、爆闪灯、反射灯拆除</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警灯、爆闪灯、反射灯恢复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后拖车杠座拆装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更换大灯氙气包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检修警灯警报控制器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铆标志牌</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更换车门开关总成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固定标志牌箱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55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五十铃空气格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五十铃机油格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嘉实多合成机油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车用尿素</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正时张紧轮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正时惰轮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水箱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曲轴前油封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电子扇</w:t>
            </w:r>
          </w:p>
        </w:tc>
        <w:tc>
          <w:tcPr>
            <w:tcW w:w="83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曲轴后油封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凸轮轴油封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60A骆驼电瓶</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923.00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22152.00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机油散热器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压差传感器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压缩机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1476.67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蒸发箱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1316.00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冷凝器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冷媒</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9118.00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变速箱油（手动）</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离合器压板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371.00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分离轴承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离合器总泵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传动轴十字节</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前轮刹车盘</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后轮刹车鼓</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前轮外轴承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前轮内轴承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刹车分泵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402.33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前大灯氙气包</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尾灯总成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排挡机构</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车门开关总成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245/70R16轮胎</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雨刮片</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助力油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洗件油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防冻液</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轴承油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进排气门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气门顶住总成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913.67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机油泵</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大修包</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包</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2674.33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大小瓦</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缸套</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活塞环</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活塞销卡</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阻水圈</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链杆</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进口胶</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31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前轮上支臂</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88"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266"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ind w:firstLine="2168" w:firstLineChars="900"/>
        <w:rPr>
          <w:rFonts w:asciiTheme="majorEastAsia" w:hAnsiTheme="majorEastAsia" w:eastAsiaTheme="majorEastAsia" w:cstheme="majorEastAsia"/>
          <w:b/>
          <w:bCs/>
          <w:color w:val="000000" w:themeColor="text1"/>
          <w:sz w:val="24"/>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车型：粤海牌五十铃（中型专业作业车）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车牌：川ABB302</w:t>
      </w:r>
    </w:p>
    <w:tbl>
      <w:tblPr>
        <w:tblStyle w:val="16"/>
        <w:tblW w:w="7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20"/>
        <w:gridCol w:w="563"/>
        <w:gridCol w:w="606"/>
        <w:gridCol w:w="124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4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03" w:type="dxa"/>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7557" w:type="dxa"/>
            <w:gridSpan w:val="6"/>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更换油水分离器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3029.33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变速箱大修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624.67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空调试压查漏加氟</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更换前大灯总承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更换横拉根球头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警灯爆闪灯反射拆除 </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警灯爆闪灯反射恢复</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更换维修牵引座</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焊接托架锁子销</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检修更换液压缸活塞环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清理更换钢绳</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检修警笛喇叭</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检修门锁机构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检修打气泵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563" w:type="dxa"/>
            <w:vAlign w:val="center"/>
          </w:tcPr>
          <w:p>
            <w:pPr>
              <w:widowControl/>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嘉实多柴机油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换油水分离器</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312.67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695.67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华属电瓶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1174.00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757.33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203.67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1089.00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282.00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轮胎235-75R17.5</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483.00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横拉根球头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251.00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打气泵缸垫</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刹车油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rPr>
          <w:color w:val="000000" w:themeColor="text1"/>
          <w14:textFill>
            <w14:solidFill>
              <w14:schemeClr w14:val="tx1"/>
            </w14:solidFill>
          </w14:textFill>
        </w:rPr>
      </w:pPr>
    </w:p>
    <w:p>
      <w:pPr>
        <w:ind w:firstLine="210" w:firstLineChars="10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车型：金杯牌SY6521G2S3BG、SY6548MS3BH (中型普通客车）</w:t>
      </w:r>
    </w:p>
    <w:p>
      <w:pPr>
        <w:ind w:firstLine="241" w:firstLineChars="100"/>
        <w:rPr>
          <w:color w:val="000000" w:themeColor="text1"/>
          <w14:textFill>
            <w14:solidFill>
              <w14:schemeClr w14:val="tx1"/>
            </w14:solidFill>
          </w14:textFill>
        </w:rPr>
      </w:pPr>
      <w:r>
        <w:rPr>
          <w:rFonts w:hint="eastAsia"/>
          <w:b/>
          <w:bCs/>
          <w:color w:val="000000" w:themeColor="text1"/>
          <w:sz w:val="24"/>
          <w:szCs w:val="28"/>
          <w14:textFill>
            <w14:solidFill>
              <w14:schemeClr w14:val="tx1"/>
            </w14:solidFill>
          </w14:textFill>
        </w:rPr>
        <w:t>车牌：川A5373Q、川A5881Q</w:t>
      </w:r>
    </w:p>
    <w:tbl>
      <w:tblPr>
        <w:tblStyle w:val="16"/>
        <w:tblW w:w="7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20"/>
        <w:gridCol w:w="615"/>
        <w:gridCol w:w="554"/>
        <w:gridCol w:w="131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3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打动平衡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更换大灯总承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固定标志牌箱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更换后档玻璃</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更换氧传感器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更换前刹车盘</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更换刹车分泵</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cstheme="minorBidi"/>
                <w:b/>
                <w:bCs/>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397.33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后档玻璃</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氧传感器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后轮外油封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后轮内油封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前刹车盘</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511.33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后刹车鼓</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前轮内轴承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前轮外轴承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干燥瓶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355.00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823.67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rFonts w:asciiTheme="minorEastAsia" w:hAnsiTheme="minorEastAsia" w:eastAsiaTheme="minorEastAsia" w:cstheme="minorEastAsia"/>
          <w:b/>
          <w:bCs/>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车型：柯斯达牌SCT6702TRB53L（大型普通客车）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车牌：川AZ2711、川ABA351、川A1276Q、川A5253Q</w:t>
      </w:r>
    </w:p>
    <w:tbl>
      <w:tblPr>
        <w:tblStyle w:val="1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615"/>
        <w:gridCol w:w="554"/>
        <w:gridCol w:w="136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5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0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更换雨刮片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修补更换轮胎</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轮胎动平衡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更换点火线圈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更换火花塞</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更换压缩机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更换节气门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更换上下水管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更换离合器总泵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0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雨刮片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2295.67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2485.00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点火线圈</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241.33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火花塞</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1207.00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232.00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离合三件套</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节气门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767.00</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880" w:firstLineChars="4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57" w:type="dxa"/>
            <w:vMerge w:val="restart"/>
          </w:tcPr>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下水管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车型：粤海牌（沃尔沃）重型专业作业车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车牌：川A0573Q</w:t>
      </w:r>
    </w:p>
    <w:tbl>
      <w:tblPr>
        <w:tblStyle w:val="16"/>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20"/>
        <w:gridCol w:w="615"/>
        <w:gridCol w:w="554"/>
        <w:gridCol w:w="1313"/>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64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底盘润滑油更换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369.33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诊断工具的连接断开</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故障代码读取</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燃油滤清更换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发动机油和滤清器更换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补充液压油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清理信号灯线路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拆装全车爆闪灯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拆装全车反射灯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检修旋转液压缸</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719.33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更换旋转马达液压缸密封圈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4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机油粗滤器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机油细滤器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508.33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tabs>
                <w:tab w:val="left" w:pos="492"/>
              </w:tabs>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燃油滤清器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361.67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1022.67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旋转液压缸活塞环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组</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旋转马达液压缸缸盖密封圈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风帆12V17AH-1000A电瓶(带驻车空调功能）</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1855.33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车型：粤海牌（重型专业作业车 ）</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车牌：川A6026Q</w:t>
      </w:r>
    </w:p>
    <w:tbl>
      <w:tblPr>
        <w:tblStyle w:val="16"/>
        <w:tblW w:w="7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20"/>
        <w:gridCol w:w="615"/>
        <w:gridCol w:w="554"/>
        <w:gridCol w:w="110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0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轮毂保养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底盘传动器保养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全车打黄油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331.67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查漏加氟</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美孚柴机油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燃油格粗滤器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燃油格细滤器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齿轮油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骆驼电瓶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rPr>
          <w:color w:val="000000" w:themeColor="text1"/>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 </w:t>
      </w: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pacing w:line="460" w:lineRule="exact"/>
        <w:jc w:val="center"/>
        <w:rPr>
          <w:rFonts w:ascii="仿宋" w:hAnsi="仿宋" w:eastAsia="仿宋"/>
          <w:b/>
          <w:color w:val="000000" w:themeColor="text1"/>
          <w:sz w:val="32"/>
          <w:szCs w:val="32"/>
          <w14:textFill>
            <w14:solidFill>
              <w14:schemeClr w14:val="tx1"/>
            </w14:solidFill>
          </w14:textFill>
        </w:rPr>
      </w:pPr>
    </w:p>
    <w:p>
      <w:pPr>
        <w:snapToGrid w:val="0"/>
        <w:spacing w:line="360" w:lineRule="auto"/>
        <w:ind w:firstLine="2200" w:firstLineChars="500"/>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第五章  投标文件格式</w:t>
      </w:r>
    </w:p>
    <w:p>
      <w:pPr>
        <w:spacing w:line="360" w:lineRule="auto"/>
        <w:jc w:val="center"/>
        <w:rPr>
          <w:rFonts w:ascii="仿宋" w:hAnsi="仿宋" w:eastAsia="仿宋"/>
          <w:b/>
          <w:color w:val="000000" w:themeColor="text1"/>
          <w:sz w:val="28"/>
          <w:szCs w:val="28"/>
          <w14:textFill>
            <w14:solidFill>
              <w14:schemeClr w14:val="tx1"/>
            </w14:solidFill>
          </w14:textFill>
        </w:rPr>
      </w:pPr>
    </w:p>
    <w:p>
      <w:pPr>
        <w:spacing w:line="360" w:lineRule="auto"/>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 </w:t>
      </w:r>
    </w:p>
    <w:p>
      <w:pPr>
        <w:spacing w:line="360" w:lineRule="auto"/>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pacing w:line="360" w:lineRule="auto"/>
        <w:jc w:val="center"/>
        <w:rPr>
          <w:rFonts w:ascii="仿宋" w:hAnsi="仿宋" w:eastAsia="仿宋"/>
          <w:b/>
          <w:color w:val="000000" w:themeColor="text1"/>
          <w:sz w:val="72"/>
          <w:szCs w:val="72"/>
          <w14:textFill>
            <w14:solidFill>
              <w14:schemeClr w14:val="tx1"/>
            </w14:solidFill>
          </w14:textFill>
        </w:rPr>
      </w:pPr>
    </w:p>
    <w:p>
      <w:pPr>
        <w:spacing w:line="360" w:lineRule="auto"/>
        <w:rPr>
          <w:rFonts w:ascii="仿宋" w:hAnsi="仿宋" w:eastAsia="仿宋"/>
          <w:b/>
          <w:color w:val="000000" w:themeColor="text1"/>
          <w:sz w:val="72"/>
          <w:szCs w:val="72"/>
          <w14:textFill>
            <w14:solidFill>
              <w14:schemeClr w14:val="tx1"/>
            </w14:solidFill>
          </w14:textFill>
        </w:rPr>
      </w:pPr>
    </w:p>
    <w:p>
      <w:pPr>
        <w:pStyle w:val="6"/>
        <w:rPr>
          <w:rFonts w:ascii="仿宋" w:hAnsi="仿宋" w:eastAsia="仿宋"/>
          <w:b/>
          <w:color w:val="000000" w:themeColor="text1"/>
          <w:sz w:val="72"/>
          <w:szCs w:val="72"/>
          <w14:textFill>
            <w14:solidFill>
              <w14:schemeClr w14:val="tx1"/>
            </w14:solidFill>
          </w14:textFill>
        </w:rPr>
      </w:pPr>
    </w:p>
    <w:p>
      <w:pPr>
        <w:pStyle w:val="7"/>
        <w:rPr>
          <w:rFonts w:ascii="华文新魏" w:hAnsi="Arial" w:eastAsia="华文新魏"/>
          <w:b w:val="0"/>
          <w:sz w:val="24"/>
          <w:szCs w:val="24"/>
        </w:rPr>
      </w:pPr>
    </w:p>
    <w:p>
      <w:pPr>
        <w:spacing w:line="360" w:lineRule="auto"/>
        <w:rPr>
          <w:rFonts w:ascii="仿宋" w:hAnsi="仿宋" w:eastAsia="仿宋"/>
          <w:b/>
          <w:color w:val="000000" w:themeColor="text1"/>
          <w:sz w:val="72"/>
          <w:szCs w:val="72"/>
          <w14:textFill>
            <w14:solidFill>
              <w14:schemeClr w14:val="tx1"/>
            </w14:solidFill>
          </w14:textFill>
        </w:rPr>
      </w:pPr>
    </w:p>
    <w:p>
      <w:pPr>
        <w:spacing w:line="360" w:lineRule="auto"/>
        <w:jc w:val="center"/>
        <w:rPr>
          <w:rFonts w:ascii="仿宋" w:hAnsi="仿宋" w:eastAsia="仿宋"/>
          <w:b/>
          <w:color w:val="000000" w:themeColor="text1"/>
          <w:sz w:val="72"/>
          <w:szCs w:val="72"/>
          <w14:textFill>
            <w14:solidFill>
              <w14:schemeClr w14:val="tx1"/>
            </w14:solidFill>
          </w14:textFill>
        </w:rPr>
      </w:pPr>
    </w:p>
    <w:p>
      <w:pPr>
        <w:spacing w:line="360" w:lineRule="auto"/>
        <w:jc w:val="center"/>
        <w:rPr>
          <w:rFonts w:ascii="仿宋" w:hAnsi="仿宋" w:eastAsia="仿宋"/>
          <w:b/>
          <w:color w:val="000000" w:themeColor="text1"/>
          <w:sz w:val="72"/>
          <w:szCs w:val="72"/>
          <w14:textFill>
            <w14:solidFill>
              <w14:schemeClr w14:val="tx1"/>
            </w14:solidFill>
          </w14:textFill>
        </w:rPr>
      </w:pPr>
      <w:r>
        <w:rPr>
          <w:rFonts w:hint="eastAsia" w:ascii="仿宋" w:hAnsi="仿宋" w:eastAsia="仿宋"/>
          <w:b/>
          <w:color w:val="000000" w:themeColor="text1"/>
          <w:sz w:val="72"/>
          <w:szCs w:val="72"/>
          <w14:textFill>
            <w14:solidFill>
              <w14:schemeClr w14:val="tx1"/>
            </w14:solidFill>
          </w14:textFill>
        </w:rPr>
        <w:t>投标文件</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（封面）</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 xml:space="preserve"> </w:t>
      </w:r>
    </w:p>
    <w:p>
      <w:pPr>
        <w:spacing w:line="360" w:lineRule="auto"/>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 xml:space="preserve"> </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ind w:firstLine="1970" w:firstLineChars="545"/>
        <w:rPr>
          <w:rFonts w:ascii="仿宋" w:hAnsi="仿宋" w:eastAsia="仿宋"/>
          <w:b/>
          <w:color w:val="000000" w:themeColor="text1"/>
          <w:sz w:val="36"/>
          <w:szCs w:val="36"/>
          <w:u w:val="single"/>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项目名称：</w:t>
      </w:r>
    </w:p>
    <w:p>
      <w:pPr>
        <w:spacing w:line="360" w:lineRule="auto"/>
        <w:ind w:firstLine="1970" w:firstLineChars="545"/>
        <w:jc w:val="left"/>
        <w:rPr>
          <w:rFonts w:ascii="仿宋" w:hAnsi="仿宋" w:eastAsia="仿宋"/>
          <w:b/>
          <w:color w:val="000000" w:themeColor="text1"/>
          <w:sz w:val="36"/>
          <w:szCs w:val="36"/>
          <w14:textFill>
            <w14:solidFill>
              <w14:schemeClr w14:val="tx1"/>
            </w14:solidFill>
          </w14:textFill>
        </w:rPr>
      </w:pPr>
    </w:p>
    <w:p>
      <w:pPr>
        <w:spacing w:line="360" w:lineRule="auto"/>
        <w:ind w:firstLine="1970" w:firstLineChars="545"/>
        <w:jc w:val="left"/>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标    段：</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（正本/副本）</w:t>
      </w:r>
    </w:p>
    <w:p>
      <w:pPr>
        <w:spacing w:line="360" w:lineRule="auto"/>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pStyle w:val="21"/>
        <w:spacing w:line="360" w:lineRule="auto"/>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 xml:space="preserve"> </w:t>
      </w:r>
    </w:p>
    <w:p>
      <w:pPr>
        <w:spacing w:line="360" w:lineRule="auto"/>
        <w:ind w:firstLine="2718" w:firstLineChars="846"/>
        <w:rPr>
          <w:rFonts w:ascii="仿宋" w:hAnsi="仿宋" w:eastAsia="仿宋"/>
          <w:b/>
          <w:color w:val="000000" w:themeColor="text1"/>
          <w:sz w:val="32"/>
          <w:szCs w:val="32"/>
          <w:u w:val="single"/>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比选申请人名称（盖章）：</w:t>
      </w:r>
    </w:p>
    <w:p>
      <w:pPr>
        <w:spacing w:line="360" w:lineRule="auto"/>
        <w:ind w:firstLine="2718" w:firstLineChars="846"/>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比选日期 ：   年   月   日</w:t>
      </w: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bookmarkStart w:id="11" w:name="_Toc217446086"/>
      <w:bookmarkEnd w:id="11"/>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both"/>
        <w:rPr>
          <w:rFonts w:ascii="黑体" w:hAnsi="黑体" w:eastAsia="黑体"/>
          <w:bCs/>
          <w:color w:val="000000" w:themeColor="text1"/>
          <w:sz w:val="32"/>
          <w:szCs w:val="32"/>
          <w14:textFill>
            <w14:solidFill>
              <w14:schemeClr w14:val="tx1"/>
            </w14:solidFill>
          </w14:textFill>
        </w:rPr>
      </w:pPr>
    </w:p>
    <w:p>
      <w:pPr>
        <w:pStyle w:val="8"/>
        <w:spacing w:before="156" w:beforeLines="50" w:after="156" w:afterLines="50"/>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 投标报价函</w:t>
      </w:r>
    </w:p>
    <w:p>
      <w:pPr>
        <w:pStyle w:val="8"/>
        <w:spacing w:line="360" w:lineRule="auto"/>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u w:val="single"/>
          <w14:textFill>
            <w14:solidFill>
              <w14:schemeClr w14:val="tx1"/>
            </w14:solidFill>
          </w14:textFill>
        </w:rPr>
        <w:t xml:space="preserve">        （比选人名称） </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1.我方已仔细研究了</w:t>
      </w:r>
      <w:r>
        <w:rPr>
          <w:rFonts w:hint="eastAsia" w:ascii="仿宋" w:hAnsi="仿宋" w:eastAsia="仿宋"/>
          <w:color w:val="000000" w:themeColor="text1"/>
          <w:sz w:val="24"/>
          <w:szCs w:val="24"/>
          <w:u w:val="single"/>
          <w14:textFill>
            <w14:solidFill>
              <w14:schemeClr w14:val="tx1"/>
            </w14:solidFill>
          </w14:textFill>
        </w:rPr>
        <w:t xml:space="preserve">   （项目名称）  </w:t>
      </w:r>
      <w:r>
        <w:rPr>
          <w:rFonts w:hint="eastAsia" w:ascii="仿宋" w:hAnsi="仿宋" w:eastAsia="仿宋"/>
          <w:color w:val="000000" w:themeColor="text1"/>
          <w:sz w:val="24"/>
          <w:szCs w:val="24"/>
          <w14:textFill>
            <w14:solidFill>
              <w14:schemeClr w14:val="tx1"/>
            </w14:solidFill>
          </w14:textFill>
        </w:rPr>
        <w:t>比选文件的全部内容，在自行考察后，愿意以</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%作为本项目报价，并按照合同约定实施和完成项目，修补项目中的任何缺陷。</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2.我方承诺在比选文件规定的投标截止期后不撤销比选申请文件</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3.质量：</w:t>
      </w:r>
      <w:r>
        <w:rPr>
          <w:rFonts w:hint="eastAsia" w:ascii="仿宋" w:hAnsi="仿宋" w:eastAsia="仿宋"/>
          <w:color w:val="000000" w:themeColor="text1"/>
          <w:sz w:val="24"/>
          <w:szCs w:val="24"/>
          <w:u w:val="single"/>
          <w14:textFill>
            <w14:solidFill>
              <w14:schemeClr w14:val="tx1"/>
            </w14:solidFill>
          </w14:textFill>
        </w:rPr>
        <w:t>满足比选文件要求</w:t>
      </w:r>
      <w:r>
        <w:rPr>
          <w:rFonts w:hint="eastAsia" w:ascii="仿宋" w:hAnsi="仿宋" w:eastAsia="仿宋"/>
          <w:color w:val="000000" w:themeColor="text1"/>
          <w:sz w:val="24"/>
          <w:szCs w:val="24"/>
          <w14:textFill>
            <w14:solidFill>
              <w14:schemeClr w14:val="tx1"/>
            </w14:solidFill>
          </w14:textFill>
        </w:rPr>
        <w:t>，安全目标：</w:t>
      </w:r>
      <w:r>
        <w:rPr>
          <w:rFonts w:hint="eastAsia" w:ascii="仿宋" w:hAnsi="仿宋" w:eastAsia="仿宋"/>
          <w:color w:val="000000" w:themeColor="text1"/>
          <w:sz w:val="24"/>
          <w:szCs w:val="24"/>
          <w:u w:val="single"/>
          <w14:textFill>
            <w14:solidFill>
              <w14:schemeClr w14:val="tx1"/>
            </w14:solidFill>
          </w14:textFill>
        </w:rPr>
        <w:t>满足比选文件要求</w:t>
      </w:r>
      <w:r>
        <w:rPr>
          <w:rFonts w:hint="eastAsia" w:ascii="仿宋" w:hAnsi="仿宋" w:eastAsia="仿宋"/>
          <w:color w:val="000000" w:themeColor="text1"/>
          <w:sz w:val="24"/>
          <w:szCs w:val="24"/>
          <w14:textFill>
            <w14:solidFill>
              <w14:schemeClr w14:val="tx1"/>
            </w14:solidFill>
          </w14:textFill>
        </w:rPr>
        <w:t>，合同工期：1</w:t>
      </w:r>
      <w:r>
        <w:rPr>
          <w:rFonts w:ascii="仿宋" w:hAnsi="仿宋" w:eastAsia="仿宋"/>
          <w:color w:val="000000" w:themeColor="text1"/>
          <w:sz w:val="24"/>
          <w:szCs w:val="24"/>
          <w14:textFill>
            <w14:solidFill>
              <w14:schemeClr w14:val="tx1"/>
            </w14:solidFill>
          </w14:textFill>
        </w:rPr>
        <w:t>2</w:t>
      </w:r>
      <w:r>
        <w:rPr>
          <w:rFonts w:hint="eastAsia" w:ascii="仿宋" w:hAnsi="仿宋" w:eastAsia="仿宋"/>
          <w:color w:val="000000" w:themeColor="text1"/>
          <w:sz w:val="24"/>
          <w:szCs w:val="24"/>
          <w14:textFill>
            <w14:solidFill>
              <w14:schemeClr w14:val="tx1"/>
            </w14:solidFill>
          </w14:textFill>
        </w:rPr>
        <w:t>个月。</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4.如我方中标，我方承诺：</w:t>
      </w:r>
    </w:p>
    <w:p>
      <w:pPr>
        <w:autoSpaceDE w:val="0"/>
        <w:ind w:firstLine="600" w:firstLineChars="2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（1）在收到中标通知书后，在中标通知书规定的期限内与你方签订合同；</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（2）在签订合同时不向你方提出附加条件；</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（3）在合同约定的期限内完成合同规定的全部义务；</w:t>
      </w:r>
    </w:p>
    <w:p>
      <w:pPr>
        <w:autoSpaceDE w:val="0"/>
        <w:ind w:firstLine="480" w:firstLineChars="200"/>
        <w:rPr>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不满足合同附件要求，你方有权取消我方中标资格。</w:t>
      </w:r>
    </w:p>
    <w:p>
      <w:pPr>
        <w:autoSpaceDE w:val="0"/>
        <w:ind w:firstLine="42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5.我方在此声明，所递交的比选申请文件及有关资料内容完整、真实和准确。</w:t>
      </w:r>
    </w:p>
    <w:p>
      <w:pPr>
        <w:autoSpaceDE w:val="0"/>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6.在合同协议书正式签署生效之前，本投标函连同你方的中标通知书将构成我们双方之间共同遵守的文件，对双方具有约束力。</w:t>
      </w:r>
    </w:p>
    <w:p>
      <w:pPr>
        <w:autoSpaceDE w:val="0"/>
        <w:ind w:firstLine="480" w:firstLineChars="20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7.</w:t>
      </w:r>
      <w:r>
        <w:rPr>
          <w:rFonts w:hint="eastAsia" w:ascii="仿宋" w:hAnsi="仿宋" w:eastAsia="仿宋"/>
          <w:color w:val="000000" w:themeColor="text1"/>
          <w:sz w:val="24"/>
          <w:szCs w:val="24"/>
          <w:u w:val="single"/>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（其他补充说明）。</w:t>
      </w:r>
    </w:p>
    <w:p>
      <w:pPr>
        <w:pStyle w:val="8"/>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比选申请人：</w:t>
      </w:r>
      <w:r>
        <w:rPr>
          <w:rFonts w:hint="eastAsia" w:ascii="仿宋" w:hAnsi="仿宋" w:eastAsia="仿宋"/>
          <w:color w:val="000000" w:themeColor="text1"/>
          <w:sz w:val="24"/>
          <w:szCs w:val="24"/>
          <w:u w:val="single"/>
          <w14:textFill>
            <w14:solidFill>
              <w14:schemeClr w14:val="tx1"/>
            </w14:solidFill>
          </w14:textFill>
        </w:rPr>
        <w:t xml:space="preserve">（单位全称）       （盖单位章）  </w:t>
      </w:r>
    </w:p>
    <w:p>
      <w:pPr>
        <w:pStyle w:val="8"/>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法定代表人或其委托代理人：</w:t>
      </w:r>
      <w:r>
        <w:rPr>
          <w:rFonts w:hint="eastAsia" w:ascii="仿宋" w:hAnsi="仿宋" w:eastAsia="仿宋"/>
          <w:color w:val="000000" w:themeColor="text1"/>
          <w:sz w:val="24"/>
          <w:szCs w:val="24"/>
          <w:u w:val="single"/>
          <w14:textFill>
            <w14:solidFill>
              <w14:schemeClr w14:val="tx1"/>
            </w14:solidFill>
          </w14:textFill>
        </w:rPr>
        <w:t xml:space="preserve">   （签字）   </w:t>
      </w:r>
    </w:p>
    <w:p>
      <w:pPr>
        <w:pStyle w:val="8"/>
        <w:autoSpaceDE w:val="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比选申请人地址：                             </w:t>
      </w:r>
    </w:p>
    <w:p>
      <w:pPr>
        <w:pStyle w:val="8"/>
        <w:autoSpaceDE w:val="0"/>
        <w:ind w:firstLine="3796" w:firstLineChars="13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pacing w:val="26"/>
          <w:sz w:val="24"/>
          <w:szCs w:val="24"/>
          <w14:textFill>
            <w14:solidFill>
              <w14:schemeClr w14:val="tx1"/>
            </w14:solidFill>
          </w14:textFill>
        </w:rPr>
        <w:t>邮政编码</w:t>
      </w: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电      话：                                   </w:t>
      </w:r>
    </w:p>
    <w:p>
      <w:pPr>
        <w:pStyle w:val="8"/>
        <w:autoSpaceDE w:val="0"/>
        <w:ind w:firstLine="3720" w:firstLineChars="1550"/>
        <w:rPr>
          <w:rFonts w:ascii="仿宋" w:hAnsi="仿宋" w:eastAsia="仿宋"/>
          <w:color w:val="000000" w:themeColor="text1"/>
          <w:sz w:val="24"/>
          <w:szCs w:val="24"/>
          <w:u w:val="single"/>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传      真：                                      </w:t>
      </w:r>
    </w:p>
    <w:p>
      <w:pPr>
        <w:pStyle w:val="8"/>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网      址：  </w:t>
      </w:r>
    </w:p>
    <w:p>
      <w:pPr>
        <w:pStyle w:val="8"/>
        <w:autoSpaceDE w:val="0"/>
        <w:ind w:firstLine="3720" w:firstLineChars="155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年    月    日</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pStyle w:val="8"/>
        <w:autoSpaceDE w:val="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48"/>
          <w:szCs w:val="48"/>
          <w14:textFill>
            <w14:solidFill>
              <w14:schemeClr w14:val="tx1"/>
            </w14:solidFill>
          </w14:textFill>
        </w:rPr>
        <w:t>维修清单</w:t>
      </w: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ind w:firstLine="210" w:firstLineChars="100"/>
        <w:jc w:val="center"/>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车型：江西五十铃（轻型普通货车）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车牌：川GA9G79 川A1G82X 川GA4F6L3</w:t>
      </w:r>
    </w:p>
    <w:tbl>
      <w:tblPr>
        <w:tblStyle w:val="16"/>
        <w:tblW w:w="7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250"/>
        <w:gridCol w:w="833"/>
        <w:gridCol w:w="606"/>
        <w:gridCol w:w="105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9" w:hRule="atLeast"/>
          <w:jc w:val="center"/>
        </w:trPr>
        <w:tc>
          <w:tcPr>
            <w:tcW w:w="102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2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83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05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50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更换空气格</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更换油水分离器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更换正时套装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更换水箱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更换电子扇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更换曲轴前油封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更换曲轴后油封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更换凸轮轴油封</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更换电瓶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更换发电机皮带</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研磨气门缸盖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煮洗缸体缸盖</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拆解更换发动机总成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更换气门挺杆</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更换回水壶</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更换发动机进水管密封圈</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更换压缩机</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更换蒸发箱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更换冷凝器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清洗空调管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抽空加氟</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空调加压查漏</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更换变速箱油（手动）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波箱保养</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更换离合三件套</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更换离合器总泵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更换传动轴十字节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更换前轮刹车盘</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更换后轮刹车鼓</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更换后轮刹车片</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更换后轮轴承</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更换刹车分泵</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清洗排气管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拆装清洗颗粒捕捉器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焊补排气管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四轮定位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更换前轮上支臂</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拆装轮胎防爆装置</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修补更换轮胎</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轮胎动平衡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hint="eastAsia" w:ascii="方正楷体_GBK" w:hAnsi="方正楷体_GBK"/>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更换排挡机构</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调整离合行程</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更换灯泡</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更换前大灯总成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更换尾灯总成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警灯、爆闪灯、反射灯拆除</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警灯、爆闪灯、反射灯恢复</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后拖车杠座拆装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更换大灯氙气包</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检修警灯警报控制器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更换警灯警报控制器</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铆标志牌</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更换车门开关总成</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固定标志牌箱</w:t>
            </w:r>
          </w:p>
        </w:tc>
        <w:tc>
          <w:tcPr>
            <w:tcW w:w="83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26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五十铃空气格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五十铃机油格</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嘉实多合成机油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车用尿素</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正时张紧轮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正时惰轮</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水箱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596.67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曲轴前油封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电子扇</w:t>
            </w:r>
          </w:p>
        </w:tc>
        <w:tc>
          <w:tcPr>
            <w:tcW w:w="83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曲轴后油封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凸轮轴油封</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60A骆驼电瓶</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923.00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发电机皮带</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发动机总成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22152.00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机油散热器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压差传感器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压缩机</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1476.67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蒸发箱</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1316.00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冷凝器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冷媒</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台</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9118.00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变速箱油（手动）</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波箱油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离合器压板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371.00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离合器片</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分离轴承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离合器总泵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传动轴十字节</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传动轴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前轮刹车盘</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后轮刹车鼓</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前轮外轴承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前轮内轴承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后轮轴承</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刹车分泵</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402.33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前大灯氙气包</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尾灯总成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排挡机构</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车门开关总成</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245/70R16轮胎</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雨刮片</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刹车油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助力油</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洗件油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防冻液</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轴承油</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进排气门</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气门顶住总成</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913.67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机油泵</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大修包</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包</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曲轴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2674.33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大小瓦</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缸套</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60</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活塞环</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61</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活塞销卡</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62</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阻水圈</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63</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链杆</w:t>
            </w:r>
          </w:p>
        </w:tc>
        <w:tc>
          <w:tcPr>
            <w:tcW w:w="83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64</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65</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排气凸轮轴</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435.33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66</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进口胶</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24"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67</w:t>
            </w:r>
          </w:p>
        </w:tc>
        <w:tc>
          <w:tcPr>
            <w:tcW w:w="225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前轮上支臂</w:t>
            </w:r>
          </w:p>
        </w:tc>
        <w:tc>
          <w:tcPr>
            <w:tcW w:w="833"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05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501"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ind w:firstLine="2168" w:firstLineChars="900"/>
        <w:rPr>
          <w:rFonts w:asciiTheme="majorEastAsia" w:hAnsiTheme="majorEastAsia" w:eastAsiaTheme="majorEastAsia" w:cstheme="majorEastAsia"/>
          <w:b/>
          <w:bCs/>
          <w:color w:val="000000" w:themeColor="text1"/>
          <w:sz w:val="24"/>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车型：粤海牌五十铃（中型专业作业车）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车牌：川ABB302</w:t>
      </w:r>
    </w:p>
    <w:tbl>
      <w:tblPr>
        <w:tblStyle w:val="16"/>
        <w:tblW w:w="7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520"/>
        <w:gridCol w:w="563"/>
        <w:gridCol w:w="606"/>
        <w:gridCol w:w="124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563"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24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03" w:type="dxa"/>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b/>
                <w:bCs/>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更换油水分离器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3029.33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变速箱大修</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624.67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空调试压查漏加氟</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378.67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修补轮胎</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更换前大灯总承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更换横拉根球头</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警灯爆闪灯反射拆除 </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警灯爆闪灯反射恢复</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更换维修牵引座</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焊接托架锁子销</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检修更换液压缸活塞环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586.67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清理更换钢绳</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检修警笛喇叭</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检修门锁机构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检修打气泵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57"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563" w:type="dxa"/>
            <w:vAlign w:val="center"/>
          </w:tcPr>
          <w:p>
            <w:pPr>
              <w:widowControl/>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嘉实多柴机油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盒</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restart"/>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换油水分离器</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312.67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冷溋器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695.67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965.33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华属电瓶</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644.00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tabs>
                <w:tab w:val="left" w:pos="319"/>
              </w:tabs>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1174.00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空调散热器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空调蒸发箱</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757.33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203.67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928.00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1089.00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0.00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制动分泵</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274.67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497.00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手制动调节杆</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手制动鼓</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456.33</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手制动片</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副</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282.00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档杆拉线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根</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轮胎235-75R17.5</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条</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排档机构</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483.00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横拉根球头</w:t>
            </w:r>
          </w:p>
        </w:tc>
        <w:tc>
          <w:tcPr>
            <w:tcW w:w="563"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146.67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大灯疝气包</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防雾灯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警灯警报控制器</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805.00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过桥轴承</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液压缸活塞环</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组</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251.00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液压油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升</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保险盒盖</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个</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161.00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打气泵缸垫</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张</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165.67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半轴螺丝</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颗</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17.00</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92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刹车油</w:t>
            </w:r>
          </w:p>
        </w:tc>
        <w:tc>
          <w:tcPr>
            <w:tcW w:w="563"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瓶</w:t>
            </w:r>
          </w:p>
        </w:tc>
        <w:tc>
          <w:tcPr>
            <w:tcW w:w="60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24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03" w:type="dxa"/>
            <w:vMerge w:val="continue"/>
            <w:vAlign w:val="center"/>
          </w:tcPr>
          <w:p>
            <w:pPr>
              <w:jc w:val="center"/>
              <w:rPr>
                <w:rFonts w:hint="eastAsia" w:ascii="方正楷体_GBK" w:hAnsi="方正楷体_GBK"/>
                <w:color w:val="000000" w:themeColor="text1"/>
                <w14:textFill>
                  <w14:solidFill>
                    <w14:schemeClr w14:val="tx1"/>
                  </w14:solidFill>
                </w14:textFill>
              </w:rPr>
            </w:pPr>
          </w:p>
        </w:tc>
      </w:tr>
    </w:tbl>
    <w:p>
      <w:pPr>
        <w:rPr>
          <w:color w:val="000000" w:themeColor="text1"/>
          <w14:textFill>
            <w14:solidFill>
              <w14:schemeClr w14:val="tx1"/>
            </w14:solidFill>
          </w14:textFill>
        </w:rPr>
      </w:pPr>
    </w:p>
    <w:p>
      <w:pPr>
        <w:ind w:firstLine="210" w:firstLineChars="10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车型：金杯牌SY6521G2S3BG、SY6548MS3BH (中型普通客车）</w:t>
      </w:r>
    </w:p>
    <w:p>
      <w:pPr>
        <w:ind w:firstLine="241" w:firstLineChars="100"/>
        <w:rPr>
          <w:color w:val="000000" w:themeColor="text1"/>
          <w14:textFill>
            <w14:solidFill>
              <w14:schemeClr w14:val="tx1"/>
            </w14:solidFill>
          </w14:textFill>
        </w:rPr>
      </w:pPr>
      <w:r>
        <w:rPr>
          <w:rFonts w:hint="eastAsia"/>
          <w:b/>
          <w:bCs/>
          <w:color w:val="000000" w:themeColor="text1"/>
          <w:sz w:val="24"/>
          <w:szCs w:val="28"/>
          <w14:textFill>
            <w14:solidFill>
              <w14:schemeClr w14:val="tx1"/>
            </w14:solidFill>
          </w14:textFill>
        </w:rPr>
        <w:t>车牌：川A5373Q、川A5881Q</w:t>
      </w:r>
    </w:p>
    <w:tbl>
      <w:tblPr>
        <w:tblStyle w:val="16"/>
        <w:tblW w:w="7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520"/>
        <w:gridCol w:w="615"/>
        <w:gridCol w:w="554"/>
        <w:gridCol w:w="131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3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更换轮胎</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打动平衡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焊补排气管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更换大灯总承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固定标志牌箱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清洗空调管道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更换后档玻璃</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更换氧传感器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322.00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检修警灯警报器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更换前刹车盘</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更换后刹车鼓</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更换刹车分泵</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更换警灯警报控制器</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更换变速箱总承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更换发动机总承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69"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71.00</w:t>
            </w:r>
          </w:p>
        </w:tc>
        <w:tc>
          <w:tcPr>
            <w:tcW w:w="1730"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大灯总承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restart"/>
            <w:vAlign w:val="center"/>
          </w:tcPr>
          <w:p>
            <w:pPr>
              <w:jc w:val="center"/>
              <w:rPr>
                <w:rFonts w:hint="eastAsia" w:ascii="方正楷体_GBK" w:hAnsi="方正楷体_GBK" w:cstheme="minorBidi"/>
                <w:b/>
                <w:bCs/>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离合器压板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397.33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离合器分离轴承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后档玻璃</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张</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246.00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氧传感器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后轮外油封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后轮内油封</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前刹车盘</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511.33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后刹车鼓</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前轮内轴承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前轮外轴承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549.33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539.67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干燥瓶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尾灯总承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355.00</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1107.67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传动轴万向节</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994.33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823.67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104.33</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837"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30"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rFonts w:asciiTheme="minorEastAsia" w:hAnsiTheme="minorEastAsia" w:eastAsiaTheme="minorEastAsia" w:cstheme="minorEastAsia"/>
          <w:b/>
          <w:bCs/>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车型：柯斯达牌SCT6702TRB53L（大型普通客车）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车牌：川AZ2711、川ABA351、川A1276Q、川A5253Q</w:t>
      </w:r>
    </w:p>
    <w:tbl>
      <w:tblPr>
        <w:tblStyle w:val="1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520"/>
        <w:gridCol w:w="615"/>
        <w:gridCol w:w="554"/>
        <w:gridCol w:w="136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66"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757"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0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更换空气格</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四轮保养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更换后轮刹车片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更换雨刮片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修补更换轮胎</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轮胎动平衡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拆装轮胎防爆装置</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四轮定位</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更换后轮轴承</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更换水箱</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更换冷凝器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更换电子扇</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更换点火线圈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更换火花塞</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更换发电机皮带</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更换正时套件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更换离合三件套</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更换压缩机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更换节气门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更换上下水管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更换回水壶管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更换后减震器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更换离合器总泵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更换前刹车分泵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0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38.00</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嘉实多磁护机油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757" w:type="dxa"/>
            <w:vMerge w:val="restart"/>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后轮刹车片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雨刮片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后轮轴承</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水箱</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color w:val="000000" w:themeColor="text1"/>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冷凝器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2295.67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电子扇</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2485.00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点火线圈</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241.33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火花塞</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支</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1207.00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发电机皮带</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232.00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电瓶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530.00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正时套件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套</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639.00</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离合三件套</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615.67</w:t>
            </w:r>
          </w:p>
        </w:tc>
        <w:tc>
          <w:tcPr>
            <w:tcW w:w="1757" w:type="dxa"/>
            <w:vMerge w:val="continue"/>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压缩机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23</w:t>
            </w:r>
          </w:p>
        </w:tc>
        <w:tc>
          <w:tcPr>
            <w:tcW w:w="2520" w:type="dxa"/>
            <w:vAlign w:val="center"/>
          </w:tcPr>
          <w:p>
            <w:pPr>
              <w:widowControl/>
              <w:ind w:firstLine="660" w:firstLineChars="3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节气门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767.00</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24</w:t>
            </w:r>
          </w:p>
        </w:tc>
        <w:tc>
          <w:tcPr>
            <w:tcW w:w="2520" w:type="dxa"/>
            <w:vAlign w:val="center"/>
          </w:tcPr>
          <w:p>
            <w:pPr>
              <w:widowControl/>
              <w:ind w:firstLine="880" w:firstLineChars="400"/>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上水管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132.67</w:t>
            </w:r>
          </w:p>
        </w:tc>
        <w:tc>
          <w:tcPr>
            <w:tcW w:w="1757" w:type="dxa"/>
            <w:vMerge w:val="restart"/>
          </w:tcPr>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cstheme="minorBidi"/>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下水管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118.33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127.67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回水壶管</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根</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364.33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后减震器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离合器总泵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前刹车分泵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899.67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更换后刹车分泵</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710.33</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6"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66"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757"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2"/>
        <w:ind w:left="0" w:leftChars="0" w:firstLine="0"/>
        <w:rPr>
          <w:color w:val="000000" w:themeColor="text1"/>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车型：粤海牌（沃尔沃）重型专业作业车</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车牌：川A0573Q</w:t>
      </w:r>
    </w:p>
    <w:tbl>
      <w:tblPr>
        <w:tblStyle w:val="16"/>
        <w:tblW w:w="7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20"/>
        <w:gridCol w:w="615"/>
        <w:gridCol w:w="554"/>
        <w:gridCol w:w="1313"/>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313"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648"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底盘润滑油更换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369.33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诊断工具的连接断开</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故障代码读取</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燃油滤清更换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发动机油和滤清器更换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199.00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油水分离器滤清器更换</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85.33</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521.00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补充液压油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清理信号灯线路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拆装全车爆闪灯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拆装清洗排气管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拆装警灯警报器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拆装全车反射灯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227.33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检修旋转液压缸</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719.33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更换旋转马达液压缸密封圈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340.67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空调查漏加氟</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48"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机油粗滤器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279.00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机油细滤器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213.00</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508.33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tabs>
                <w:tab w:val="left" w:pos="492"/>
              </w:tabs>
              <w:jc w:val="left"/>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ab/>
            </w:r>
            <w:r>
              <w:rPr>
                <w:rFonts w:hint="eastAsia" w:ascii="宋体" w:hAnsi="宋体" w:cs="宋体"/>
                <w:color w:val="000000" w:themeColor="text1"/>
                <w:sz w:val="22"/>
                <w:szCs w:val="22"/>
                <w14:textFill>
                  <w14:solidFill>
                    <w14:schemeClr w14:val="tx1"/>
                  </w14:solidFill>
                </w14:textFill>
              </w:rPr>
              <w:t>燃油滤清器</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361.67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71"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灯泡</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空调鼓风机电阻</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1022.67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旋转液压缸活塞环</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组</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269.67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113.33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旋转马达液压缸缸盖密封圈</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156.33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75"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风帆12V17AH-1000A电瓶(带驻车空调功能）</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313"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1855.33</w:t>
            </w:r>
          </w:p>
        </w:tc>
        <w:tc>
          <w:tcPr>
            <w:tcW w:w="1971"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车型：粤海牌（重型专业作业车 ）</w:t>
      </w:r>
    </w:p>
    <w:p>
      <w:pPr>
        <w:ind w:firstLine="241" w:firstLineChars="100"/>
        <w:rPr>
          <w:b/>
          <w:bCs/>
          <w:color w:val="000000" w:themeColor="text1"/>
          <w:sz w:val="24"/>
          <w:szCs w:val="28"/>
          <w14:textFill>
            <w14:solidFill>
              <w14:schemeClr w14:val="tx1"/>
            </w14:solidFill>
          </w14:textFill>
        </w:rPr>
      </w:pPr>
      <w:r>
        <w:rPr>
          <w:rFonts w:hint="eastAsia"/>
          <w:b/>
          <w:bCs/>
          <w:color w:val="000000" w:themeColor="text1"/>
          <w:sz w:val="24"/>
          <w:szCs w:val="28"/>
          <w14:textFill>
            <w14:solidFill>
              <w14:schemeClr w14:val="tx1"/>
            </w14:solidFill>
          </w14:textFill>
        </w:rPr>
        <w:t>车牌：川A6026Q</w:t>
      </w:r>
    </w:p>
    <w:tbl>
      <w:tblPr>
        <w:tblStyle w:val="16"/>
        <w:tblW w:w="7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20"/>
        <w:gridCol w:w="615"/>
        <w:gridCol w:w="554"/>
        <w:gridCol w:w="1104"/>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序号</w:t>
            </w:r>
          </w:p>
        </w:tc>
        <w:tc>
          <w:tcPr>
            <w:tcW w:w="252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名称</w:t>
            </w:r>
          </w:p>
        </w:tc>
        <w:tc>
          <w:tcPr>
            <w:tcW w:w="615" w:type="dxa"/>
            <w:vAlign w:val="center"/>
          </w:tcPr>
          <w:p>
            <w:pPr>
              <w:jc w:val="center"/>
              <w:rPr>
                <w:rFonts w:hint="eastAsia" w:ascii="方正楷体_GBK" w:hAnsi="方正楷体_GBK" w:eastAsiaTheme="minorEastAsia"/>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单位</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数量</w:t>
            </w:r>
          </w:p>
        </w:tc>
        <w:tc>
          <w:tcPr>
            <w:tcW w:w="110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业主估算单价（元）</w:t>
            </w:r>
          </w:p>
        </w:tc>
        <w:tc>
          <w:tcPr>
            <w:tcW w:w="1950"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b/>
                <w:bCs/>
                <w:color w:val="000000" w:themeColor="text1"/>
                <w14:textFill>
                  <w14:solidFill>
                    <w14:schemeClr w14:val="tx1"/>
                  </w14:solidFill>
                </w14:textFill>
              </w:rPr>
              <w:t>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发动机保养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轮毂保养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底盘传动器保养</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302.67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全车打黄油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331.67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清理钢绳</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检修卷扬机</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454.67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查漏加氟</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更换电瓶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次</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514" w:type="dxa"/>
            <w:gridSpan w:val="6"/>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eastAsiaTheme="minorEastAsia" w:cstheme="minorBidi"/>
                <w:b/>
                <w:bCs/>
                <w:color w:val="000000" w:themeColor="text1"/>
                <w:szCs w:val="22"/>
                <w14:textFill>
                  <w14:solidFill>
                    <w14:schemeClr w14:val="tx1"/>
                  </w14:solidFill>
                </w14:textFill>
              </w:rPr>
              <w:t>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美孚柴机油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33.00</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保养材料费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燃油格粗滤器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151.33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燃油格细滤器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170.67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4</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机油格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80.33</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5</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空气格</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208.00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6</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油水分离器</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个</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175.00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7</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齿轮油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36.00</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8</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洗件油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升</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9.67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9</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轴承油</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盒</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42.67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10</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防冻液</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56.67</w:t>
            </w:r>
          </w:p>
        </w:tc>
        <w:tc>
          <w:tcPr>
            <w:tcW w:w="1950" w:type="dxa"/>
            <w:vMerge w:val="restart"/>
          </w:tcPr>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cstheme="minorBidi"/>
                <w:b/>
                <w:bCs/>
                <w:color w:val="000000" w:themeColor="text1"/>
                <w:szCs w:val="22"/>
                <w14:textFill>
                  <w14:solidFill>
                    <w14:schemeClr w14:val="tx1"/>
                  </w14:solidFill>
                </w14:textFill>
              </w:rPr>
            </w:pPr>
          </w:p>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b/>
                <w:bCs/>
                <w:color w:val="000000" w:themeColor="text1"/>
                <w:szCs w:val="22"/>
                <w14:textFill>
                  <w14:solidFill>
                    <w14:schemeClr w14:val="tx1"/>
                  </w14:solidFill>
                </w14:textFill>
              </w:rPr>
              <w:t>维修材料费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12</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冷媒</w:t>
            </w:r>
          </w:p>
        </w:tc>
        <w:tc>
          <w:tcPr>
            <w:tcW w:w="615" w:type="dxa"/>
            <w:vAlign w:val="center"/>
          </w:tcPr>
          <w:p>
            <w:pPr>
              <w:widowControl/>
              <w:jc w:val="center"/>
              <w:textAlignment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瓶</w:t>
            </w:r>
          </w:p>
        </w:tc>
        <w:tc>
          <w:tcPr>
            <w:tcW w:w="554" w:type="dxa"/>
            <w:vAlign w:val="center"/>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47.67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1" w:type="dxa"/>
            <w:vAlign w:val="center"/>
          </w:tcPr>
          <w:p>
            <w:pPr>
              <w:widowControl/>
              <w:jc w:val="center"/>
              <w:textAlignment w:val="center"/>
              <w:rPr>
                <w:rFonts w:ascii="宋体" w:hAnsi="宋体" w:cs="宋体"/>
                <w:color w:val="000000" w:themeColor="text1"/>
                <w:kern w:val="0"/>
                <w:sz w:val="22"/>
                <w:szCs w:val="22"/>
                <w:lang w:bidi="ar"/>
                <w14:textFill>
                  <w14:solidFill>
                    <w14:schemeClr w14:val="tx1"/>
                  </w14:solidFill>
                </w14:textFill>
              </w:rPr>
            </w:pPr>
            <w:r>
              <w:rPr>
                <w:rFonts w:hint="eastAsia" w:ascii="宋体" w:hAnsi="宋体" w:cs="宋体"/>
                <w:color w:val="000000" w:themeColor="text1"/>
                <w:kern w:val="0"/>
                <w:sz w:val="22"/>
                <w:szCs w:val="22"/>
                <w:lang w:bidi="ar"/>
                <w14:textFill>
                  <w14:solidFill>
                    <w14:schemeClr w14:val="tx1"/>
                  </w14:solidFill>
                </w14:textFill>
              </w:rPr>
              <w:t>13</w:t>
            </w:r>
          </w:p>
        </w:tc>
        <w:tc>
          <w:tcPr>
            <w:tcW w:w="2520" w:type="dxa"/>
            <w:vAlign w:val="center"/>
          </w:tcPr>
          <w:p>
            <w:pPr>
              <w:widowControl/>
              <w:jc w:val="center"/>
              <w:textAlignment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骆驼电瓶</w:t>
            </w:r>
          </w:p>
        </w:tc>
        <w:tc>
          <w:tcPr>
            <w:tcW w:w="615" w:type="dxa"/>
            <w:vAlign w:val="center"/>
          </w:tcPr>
          <w:p>
            <w:pPr>
              <w:widowControl/>
              <w:jc w:val="center"/>
              <w:textAlignment w:val="center"/>
              <w:rPr>
                <w:rFonts w:hint="eastAsia" w:ascii="方正楷体_GBK" w:hAnsi="方正楷体_GBK" w:cstheme="minorBidi"/>
                <w:color w:val="000000" w:themeColor="text1"/>
                <w:szCs w:val="22"/>
                <w14:textFill>
                  <w14:solidFill>
                    <w14:schemeClr w14:val="tx1"/>
                  </w14:solidFill>
                </w14:textFill>
              </w:rPr>
            </w:pPr>
            <w:r>
              <w:rPr>
                <w:rFonts w:hint="eastAsia" w:ascii="方正楷体_GBK" w:hAnsi="方正楷体_GBK" w:cstheme="minorBidi"/>
                <w:color w:val="000000" w:themeColor="text1"/>
                <w:szCs w:val="22"/>
                <w14:textFill>
                  <w14:solidFill>
                    <w14:schemeClr w14:val="tx1"/>
                  </w14:solidFill>
                </w14:textFill>
              </w:rPr>
              <w:t>只</w:t>
            </w:r>
          </w:p>
        </w:tc>
        <w:tc>
          <w:tcPr>
            <w:tcW w:w="554" w:type="dxa"/>
            <w:vAlign w:val="center"/>
          </w:tcPr>
          <w:p>
            <w:pPr>
              <w:jc w:val="center"/>
              <w:rPr>
                <w:rFonts w:hint="eastAsia" w:ascii="方正楷体_GBK" w:hAnsi="方正楷体_GBK"/>
                <w:color w:val="000000" w:themeColor="text1"/>
                <w14:textFill>
                  <w14:solidFill>
                    <w14:schemeClr w14:val="tx1"/>
                  </w14:solidFill>
                </w14:textFill>
              </w:rPr>
            </w:pPr>
            <w:r>
              <w:rPr>
                <w:rFonts w:hint="eastAsia" w:ascii="方正楷体_GBK" w:hAnsi="方正楷体_GBK"/>
                <w:color w:val="000000" w:themeColor="text1"/>
                <w14:textFill>
                  <w14:solidFill>
                    <w14:schemeClr w14:val="tx1"/>
                  </w14:solidFill>
                </w14:textFill>
              </w:rPr>
              <w:t>1</w:t>
            </w:r>
          </w:p>
        </w:tc>
        <w:tc>
          <w:tcPr>
            <w:tcW w:w="1104" w:type="dxa"/>
            <w:vAlign w:val="center"/>
          </w:tcPr>
          <w:p>
            <w:pPr>
              <w:widowControl/>
              <w:jc w:val="right"/>
              <w:textAlignment w:val="center"/>
              <w:rPr>
                <w:rFonts w:ascii="宋体" w:hAnsi="宋体" w:cs="宋体"/>
                <w:color w:val="000000" w:themeColor="text1"/>
                <w:sz w:val="22"/>
                <w:szCs w:val="22"/>
                <w14:textFill>
                  <w14:solidFill>
                    <w14:schemeClr w14:val="tx1"/>
                  </w14:solidFill>
                </w14:textFill>
              </w:rPr>
            </w:pPr>
            <w:r>
              <w:rPr>
                <w:rFonts w:hint="eastAsia" w:ascii="等线" w:hAnsi="等线" w:eastAsia="等线" w:cs="等线"/>
                <w:color w:val="000000" w:themeColor="text1"/>
                <w:kern w:val="0"/>
                <w:sz w:val="22"/>
                <w:szCs w:val="22"/>
                <w:lang w:bidi="ar"/>
                <w14:textFill>
                  <w14:solidFill>
                    <w14:schemeClr w14:val="tx1"/>
                  </w14:solidFill>
                </w14:textFill>
              </w:rPr>
              <w:t>738.67</w:t>
            </w:r>
          </w:p>
        </w:tc>
        <w:tc>
          <w:tcPr>
            <w:tcW w:w="1950" w:type="dxa"/>
            <w:vMerge w:val="continue"/>
          </w:tcPr>
          <w:p>
            <w:pPr>
              <w:jc w:val="center"/>
              <w:rPr>
                <w:rFonts w:hint="eastAsia" w:ascii="方正楷体_GBK" w:hAnsi="方正楷体_GBK" w:eastAsiaTheme="minorEastAsia" w:cstheme="minorBidi"/>
                <w:color w:val="000000" w:themeColor="text1"/>
                <w:szCs w:val="22"/>
                <w14:textFill>
                  <w14:solidFill>
                    <w14:schemeClr w14:val="tx1"/>
                  </w14:solidFill>
                </w14:textFill>
              </w:rPr>
            </w:pPr>
          </w:p>
        </w:tc>
      </w:tr>
    </w:tbl>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p>
    <w:p>
      <w:pPr>
        <w:pStyle w:val="8"/>
        <w:autoSpaceDE w:val="0"/>
        <w:ind w:firstLine="3720" w:firstLineChars="1550"/>
        <w:jc w:val="center"/>
        <w:rPr>
          <w:rFonts w:ascii="仿宋" w:hAnsi="仿宋" w:eastAsia="仿宋"/>
          <w:color w:val="000000" w:themeColor="text1"/>
          <w:sz w:val="24"/>
          <w:szCs w:val="24"/>
          <w14:textFill>
            <w14:solidFill>
              <w14:schemeClr w14:val="tx1"/>
            </w14:solidFill>
          </w14:textFill>
        </w:rPr>
      </w:pPr>
    </w:p>
    <w:p>
      <w:pPr>
        <w:pStyle w:val="8"/>
        <w:autoSpaceDE w:val="0"/>
        <w:ind w:firstLine="3720" w:firstLineChars="1550"/>
        <w:jc w:val="center"/>
        <w:rPr>
          <w:rFonts w:ascii="黑体" w:hAnsi="黑体" w:eastAsia="黑体"/>
          <w:bCs/>
          <w:color w:val="000000" w:themeColor="text1"/>
          <w:sz w:val="30"/>
          <w:szCs w:val="30"/>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二、法定代表人授权书（按需）</w:t>
      </w:r>
    </w:p>
    <w:p>
      <w:pPr>
        <w:pStyle w:val="29"/>
        <w:snapToGrid w:val="0"/>
        <w:ind w:firstLine="0" w:firstLineChars="0"/>
        <w:jc w:val="center"/>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 xml:space="preserve"> </w:t>
      </w:r>
    </w:p>
    <w:p>
      <w:pPr>
        <w:widowControl/>
        <w:snapToGrid w:val="0"/>
        <w:spacing w:line="360" w:lineRule="auto"/>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四川成渝高速公路股份有限公司成渝分公司：</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本授权声明：×××××（比选申请人名称）×××××（法定代表人姓名、职务）授权×××××（被授权人姓名、职务）为我方 “×××××” 项目比选活动的合法代表，以我方名义全权处理该项目有关比选、签订合同以及执行合同等一切事宜。</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特此声明。</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36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法定代表人（签字或盖章）：×××××。</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授权代表（签字）：×××××。</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比选人名称：×××××（单位公章）。</w:t>
      </w:r>
    </w:p>
    <w:p>
      <w:pPr>
        <w:widowControl/>
        <w:snapToGrid w:val="0"/>
        <w:spacing w:line="480" w:lineRule="auto"/>
        <w:ind w:firstLine="470" w:firstLineChars="196"/>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日期：×××××。</w:t>
      </w:r>
    </w:p>
    <w:p>
      <w:pPr>
        <w:widowControl/>
        <w:snapToGrid w:val="0"/>
        <w:spacing w:line="480" w:lineRule="auto"/>
        <w:jc w:val="left"/>
        <w:outlineLvl w:val="1"/>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w:t>
      </w:r>
    </w:p>
    <w:p>
      <w:p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后附：</w:t>
      </w:r>
    </w:p>
    <w:p>
      <w:pPr>
        <w:numPr>
          <w:ilvl w:val="0"/>
          <w:numId w:val="2"/>
        </w:num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法定代表人身份证复印件（正反面，加盖公章）</w:t>
      </w:r>
    </w:p>
    <w:p>
      <w:pPr>
        <w:numPr>
          <w:ilvl w:val="0"/>
          <w:numId w:val="2"/>
        </w:numPr>
        <w:snapToGrid w:val="0"/>
        <w:spacing w:after="156" w:afterLines="50" w:line="360" w:lineRule="auto"/>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授权代表身份证复印件（正反面，加盖公章）</w:t>
      </w: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p>
    <w:p>
      <w:pPr>
        <w:pStyle w:val="21"/>
        <w:ind w:firstLine="2560" w:firstLineChars="8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三、资格证明材料</w:t>
      </w:r>
    </w:p>
    <w:p>
      <w:pPr>
        <w:pStyle w:val="13"/>
        <w:shd w:val="clear" w:color="auto" w:fill="FFFFFF"/>
        <w:autoSpaceDE w:val="0"/>
        <w:spacing w:before="0" w:beforeAutospacing="0" w:after="0" w:afterAutospacing="0"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 </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1.龙泉片区</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资格要求：持有有效的营业执照、基本账户开户许可证或基本用户信息表</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资质要求：具备道路运输经营许可证一类经营范围整车维修；</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2.简阳片区</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（1）资格要求：持有有效的营业执照、基本账户开户许可证或基本用户信息表</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（2）资质要求：具备道路运输经营许可证二类经营范围整车维修；</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（3）业绩要求：近5年内（2018年1月至今）相关类似项目业绩作为参考，以上业绩需附合同文件或验收证书复印件（加盖鲜章）。</w:t>
      </w:r>
    </w:p>
    <w:p>
      <w:pPr>
        <w:pStyle w:val="28"/>
        <w:ind w:firstLine="48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3.龙泉片区车辆定点维修保养限投标单位维修点在龙泉片区，简阳片区车辆定点维修保养限投标单位维修点在简阳片区。</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p>
    <w:p>
      <w:pPr>
        <w:pStyle w:val="21"/>
        <w:ind w:left="0" w:leftChars="0" w:firstLine="0"/>
        <w:jc w:val="center"/>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hint="eastAsia" w:ascii="黑体" w:hAnsi="黑体" w:eastAsia="黑体"/>
          <w:color w:val="000000" w:themeColor="text1"/>
          <w:sz w:val="30"/>
          <w:szCs w:val="30"/>
          <w14:textFill>
            <w14:solidFill>
              <w14:schemeClr w14:val="tx1"/>
            </w14:solidFill>
          </w14:textFill>
        </w:rPr>
        <w:t>、</w:t>
      </w:r>
      <w:bookmarkStart w:id="12" w:name="_Toc24081"/>
      <w:r>
        <w:rPr>
          <w:rFonts w:hint="eastAsia" w:ascii="黑体" w:hAnsi="黑体" w:eastAsia="黑体"/>
          <w:color w:val="000000" w:themeColor="text1"/>
          <w:sz w:val="30"/>
          <w:szCs w:val="30"/>
          <w14:textFill>
            <w14:solidFill>
              <w14:schemeClr w14:val="tx1"/>
            </w14:solidFill>
          </w14:textFill>
        </w:rPr>
        <w:t>本项目管理、服务、其他人员情况表</w:t>
      </w:r>
      <w:bookmarkEnd w:id="12"/>
    </w:p>
    <w:tbl>
      <w:tblPr>
        <w:tblStyle w:val="16"/>
        <w:tblW w:w="9301" w:type="dxa"/>
        <w:jc w:val="center"/>
        <w:tblLayout w:type="autofit"/>
        <w:tblCellMar>
          <w:top w:w="0" w:type="dxa"/>
          <w:left w:w="10" w:type="dxa"/>
          <w:bottom w:w="0" w:type="dxa"/>
          <w:right w:w="10" w:type="dxa"/>
        </w:tblCellMar>
      </w:tblPr>
      <w:tblGrid>
        <w:gridCol w:w="467"/>
        <w:gridCol w:w="456"/>
        <w:gridCol w:w="456"/>
        <w:gridCol w:w="1233"/>
        <w:gridCol w:w="1234"/>
        <w:gridCol w:w="1930"/>
        <w:gridCol w:w="1408"/>
        <w:gridCol w:w="2117"/>
      </w:tblGrid>
      <w:tr>
        <w:tblPrEx>
          <w:tblCellMar>
            <w:top w:w="0" w:type="dxa"/>
            <w:left w:w="10" w:type="dxa"/>
            <w:bottom w:w="0" w:type="dxa"/>
            <w:right w:w="10" w:type="dxa"/>
          </w:tblCellMar>
        </w:tblPrEx>
        <w:trPr>
          <w:trHeight w:val="716"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olor w:val="000000" w:themeColor="text1"/>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br w:type="page"/>
            </w:r>
            <w:r>
              <w:rPr>
                <w:rFonts w:hint="eastAsia" w:ascii="仿宋" w:hAnsi="仿宋" w:eastAsia="仿宋"/>
                <w:color w:val="000000" w:themeColor="text1"/>
                <w14:textFill>
                  <w14:solidFill>
                    <w14:schemeClr w14:val="tx1"/>
                  </w14:solidFill>
                </w14:textFill>
              </w:rPr>
              <w:t>序号</w:t>
            </w:r>
          </w:p>
        </w:tc>
        <w:tc>
          <w:tcPr>
            <w:tcW w:w="912" w:type="dxa"/>
            <w:gridSpan w:val="2"/>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姓名</w:t>
            </w: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职称 </w:t>
            </w: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持何种资格证件</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有否上岗证</w:t>
            </w: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发证时间</w:t>
            </w: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从事本工作时间</w:t>
            </w: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w:t>
            </w:r>
          </w:p>
        </w:tc>
        <w:tc>
          <w:tcPr>
            <w:tcW w:w="912"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技术</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管理</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人员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4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3</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4</w:t>
            </w:r>
          </w:p>
        </w:tc>
        <w:tc>
          <w:tcPr>
            <w:tcW w:w="912" w:type="dxa"/>
            <w:gridSpan w:val="2"/>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检验</w:t>
            </w:r>
          </w:p>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人员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5</w:t>
            </w:r>
          </w:p>
        </w:tc>
        <w:tc>
          <w:tcPr>
            <w:tcW w:w="0" w:type="auto"/>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6</w:t>
            </w: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技术工人</w:t>
            </w: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发</w:t>
            </w:r>
          </w:p>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动机</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7</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9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8</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9</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冷电</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44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10</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11</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钣喷</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7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12</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27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13</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456"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b/>
                <w:bCs/>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底盘</w:t>
            </w: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r>
        <w:tblPrEx>
          <w:tblCellMar>
            <w:top w:w="0" w:type="dxa"/>
            <w:left w:w="10" w:type="dxa"/>
            <w:bottom w:w="0" w:type="dxa"/>
            <w:right w:w="10" w:type="dxa"/>
          </w:tblCellMar>
        </w:tblPrEx>
        <w:trPr>
          <w:cantSplit/>
          <w:trHeight w:val="38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14</w:t>
            </w: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color w:val="000000" w:themeColor="text1"/>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vAlign w:val="center"/>
          </w:tcPr>
          <w:p>
            <w:pPr>
              <w:widowControl/>
              <w:jc w:val="left"/>
              <w:rPr>
                <w:rFonts w:ascii="仿宋" w:hAnsi="仿宋" w:eastAsia="仿宋"/>
                <w:b/>
                <w:bCs/>
                <w:color w:val="000000" w:themeColor="text1"/>
                <w14:textFill>
                  <w14:solidFill>
                    <w14:schemeClr w14:val="tx1"/>
                  </w14:solidFill>
                </w14:textFill>
              </w:rPr>
            </w:pPr>
          </w:p>
        </w:tc>
        <w:tc>
          <w:tcPr>
            <w:tcW w:w="123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23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93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140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c>
          <w:tcPr>
            <w:tcW w:w="21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 w:hAnsi="仿宋" w:eastAsia="仿宋"/>
                <w:color w:val="000000" w:themeColor="text1"/>
                <w14:textFill>
                  <w14:solidFill>
                    <w14:schemeClr w14:val="tx1"/>
                  </w14:solidFill>
                </w14:textFill>
              </w:rPr>
            </w:pPr>
          </w:p>
        </w:tc>
      </w:tr>
    </w:tbl>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比选申请人名称：</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（盖单位公章）</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法定责任人或授权代表：</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（签字）</w:t>
      </w:r>
    </w:p>
    <w:p>
      <w:pPr>
        <w:pStyle w:val="28"/>
        <w:snapToGrid w:val="0"/>
        <w:spacing w:line="480" w:lineRule="auto"/>
        <w:ind w:firstLine="48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日    期：</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年</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月</w:t>
      </w:r>
      <w:r>
        <w:rPr>
          <w:rFonts w:hint="eastAsia"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日</w:t>
      </w:r>
    </w:p>
    <w:p>
      <w:pPr>
        <w:widowControl/>
        <w:spacing w:line="480" w:lineRule="auto"/>
        <w:jc w:val="left"/>
        <w:rPr>
          <w:rFonts w:ascii="仿宋" w:hAnsi="仿宋" w:eastAsia="仿宋" w:cs="宋体"/>
          <w:b/>
          <w:bCs/>
          <w:color w:val="000000" w:themeColor="text1"/>
          <w:kern w:val="0"/>
          <w:sz w:val="30"/>
          <w:szCs w:val="30"/>
          <w14:textFill>
            <w14:solidFill>
              <w14:schemeClr w14:val="tx1"/>
            </w14:solidFill>
          </w14:textFill>
        </w:rPr>
        <w:sectPr>
          <w:pgSz w:w="11906" w:h="16838"/>
          <w:pgMar w:top="1800" w:right="1440" w:bottom="1800" w:left="1440" w:header="851" w:footer="992" w:gutter="0"/>
          <w:pgNumType w:fmt="numberInDash"/>
          <w:cols w:space="720" w:num="1"/>
          <w:docGrid w:type="lines" w:linePitch="312" w:charSpace="0"/>
        </w:sectPr>
      </w:pPr>
    </w:p>
    <w:p>
      <w:pPr>
        <w:pStyle w:val="4"/>
        <w:snapToGrid w:val="0"/>
        <w:spacing w:before="312" w:beforeLines="100" w:after="312" w:afterLines="100"/>
        <w:jc w:val="center"/>
        <w:rPr>
          <w:rFonts w:hAnsi="宋体"/>
          <w:color w:val="000000" w:themeColor="text1"/>
          <w:sz w:val="28"/>
          <w:szCs w:val="28"/>
          <w14:textFill>
            <w14:solidFill>
              <w14:schemeClr w14:val="tx1"/>
            </w14:solidFill>
          </w14:textFill>
        </w:rPr>
      </w:pPr>
      <w:bookmarkStart w:id="13" w:name="_Toc8598"/>
      <w:bookmarkEnd w:id="13"/>
      <w:bookmarkStart w:id="14" w:name="_Toc29964"/>
      <w:bookmarkEnd w:id="14"/>
      <w:bookmarkStart w:id="15" w:name="_Toc217446088"/>
      <w:r>
        <w:rPr>
          <w:rFonts w:hint="eastAsia" w:ascii="宋体" w:hAnsi="宋体"/>
          <w:color w:val="000000" w:themeColor="text1"/>
          <w:sz w:val="28"/>
          <w:szCs w:val="28"/>
          <w14:textFill>
            <w14:solidFill>
              <w14:schemeClr w14:val="tx1"/>
            </w14:solidFill>
          </w14:textFill>
        </w:rPr>
        <w:t>履约保证金（现金担保）</w:t>
      </w:r>
      <w:bookmarkEnd w:id="15"/>
    </w:p>
    <w:p>
      <w:pPr>
        <w:pStyle w:val="8"/>
        <w:spacing w:line="480" w:lineRule="exact"/>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 </w:t>
      </w:r>
    </w:p>
    <w:p>
      <w:pPr>
        <w:pStyle w:val="8"/>
        <w:spacing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致：（发包人全称）</w:t>
      </w:r>
    </w:p>
    <w:p>
      <w:pPr>
        <w:pStyle w:val="8"/>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鉴于(承包人全称)(下称“承包人”)与（发包人全称）(下称“发包人”)签订 （项目名称）项目第  标段合同协议书，并保证按合同规定承担该标段工程的实施和完成及其缺陷修复，承包人愿意出具按比选申请人须知第28款提交的银行汇票（或现金支票）为本项目的履约现金担保，担保金额人民币¥5000.00元整（大写:伍仟元整）。</w:t>
      </w:r>
    </w:p>
    <w:p>
      <w:pPr>
        <w:pStyle w:val="8"/>
        <w:spacing w:line="360"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履约现金担保的义务是：在接到发包人提出的因承包人在履约合同过程中未能履约或违背合同规定的责任和义务而要求索赔的书面通知和付款凭证后的 14 天内，在上述担保金额的限额内向发包人支付任何数额的款项，无须发包人出具证明或陈述理由。</w:t>
      </w:r>
    </w:p>
    <w:p>
      <w:pPr>
        <w:pStyle w:val="8"/>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任何对合同条款所作的修改或补充都不能免除承包人按本履约现金担保所应承担的义务。</w:t>
      </w:r>
    </w:p>
    <w:p>
      <w:pPr>
        <w:pStyle w:val="8"/>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本担保在担保金额支付完毕，或发包人按比选文件比选申请人须知第28条执行完毕之日起失效。</w:t>
      </w:r>
    </w:p>
    <w:p>
      <w:pPr>
        <w:pStyle w:val="8"/>
        <w:spacing w:line="480" w:lineRule="exact"/>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承包人：（全称）（盖章）</w:t>
      </w:r>
    </w:p>
    <w:p>
      <w:pPr>
        <w:pStyle w:val="8"/>
        <w:spacing w:line="480" w:lineRule="exact"/>
        <w:ind w:firstLine="4200" w:firstLineChars="20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法定代表人</w:t>
      </w:r>
    </w:p>
    <w:p>
      <w:pPr>
        <w:pStyle w:val="8"/>
        <w:spacing w:line="480" w:lineRule="exact"/>
        <w:ind w:firstLine="5040" w:firstLineChars="24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或</w:t>
      </w:r>
    </w:p>
    <w:p>
      <w:pPr>
        <w:pStyle w:val="8"/>
        <w:spacing w:line="480" w:lineRule="exact"/>
        <w:ind w:firstLine="4200" w:firstLineChars="20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其委托代理人：（职务）</w:t>
      </w:r>
    </w:p>
    <w:p>
      <w:pPr>
        <w:pStyle w:val="8"/>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（姓名）</w:t>
      </w:r>
    </w:p>
    <w:p>
      <w:pPr>
        <w:pStyle w:val="8"/>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（签字）</w:t>
      </w:r>
    </w:p>
    <w:p>
      <w:pPr>
        <w:pStyle w:val="8"/>
        <w:spacing w:line="480" w:lineRule="exact"/>
        <w:ind w:firstLine="5460" w:firstLineChars="26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 xml:space="preserve">        日期：   年  月  日</w:t>
      </w:r>
    </w:p>
    <w:p>
      <w:pPr>
        <w:pStyle w:val="21"/>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0"/>
          <w:szCs w:val="30"/>
          <w14:textFill>
            <w14:solidFill>
              <w14:schemeClr w14:val="tx1"/>
            </w14:solidFill>
          </w14:textFill>
        </w:rPr>
      </w:pPr>
      <w:r>
        <w:rPr>
          <w:rFonts w:hint="eastAsia" w:ascii="黑体" w:hAnsi="黑体" w:eastAsia="黑体"/>
          <w:bCs/>
          <w:color w:val="000000" w:themeColor="text1"/>
          <w:sz w:val="30"/>
          <w:szCs w:val="30"/>
          <w14:textFill>
            <w14:solidFill>
              <w14:schemeClr w14:val="tx1"/>
            </w14:solidFill>
          </w14:textFill>
        </w:rPr>
        <w:t xml:space="preserve"> </w:t>
      </w:r>
    </w:p>
    <w:p>
      <w:pPr>
        <w:pStyle w:val="29"/>
        <w:snapToGrid w:val="0"/>
        <w:ind w:firstLine="0" w:firstLineChars="0"/>
        <w:jc w:val="cente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五、比选申请人其他资料</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ind w:firstLine="472" w:firstLineChars="196"/>
        <w:jc w:val="center"/>
        <w:outlineLvl w:val="1"/>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 xml:space="preserve"> </w:t>
      </w:r>
    </w:p>
    <w:p>
      <w:pPr>
        <w:widowControl/>
        <w:spacing w:line="360" w:lineRule="atLeast"/>
        <w:jc w:val="center"/>
        <w:outlineLvl w:val="1"/>
        <w:rPr>
          <w:color w:val="000000" w:themeColor="text1"/>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格式自拟</w:t>
      </w:r>
    </w:p>
    <w:p>
      <w:pPr>
        <w:widowControl/>
        <w:jc w:val="left"/>
        <w:rPr>
          <w:rFonts w:ascii="仿宋" w:hAnsi="仿宋" w:eastAsia="仿宋" w:cs="宋体"/>
          <w:b/>
          <w:bCs/>
          <w:color w:val="000000" w:themeColor="text1"/>
          <w:sz w:val="30"/>
          <w:szCs w:val="30"/>
          <w14:textFill>
            <w14:solidFill>
              <w14:schemeClr w14:val="tx1"/>
            </w14:solidFill>
          </w14:textFill>
        </w:rPr>
        <w:sectPr>
          <w:pgSz w:w="11906" w:h="16838"/>
          <w:pgMar w:top="1800" w:right="1440" w:bottom="1800" w:left="1440" w:header="851" w:footer="992" w:gutter="0"/>
          <w:pgNumType w:fmt="numberInDash"/>
          <w:cols w:space="720" w:num="1"/>
          <w:docGrid w:type="lines" w:linePitch="312" w:charSpace="0"/>
        </w:sectPr>
      </w:pPr>
    </w:p>
    <w:p>
      <w:pPr>
        <w:pStyle w:val="4"/>
        <w:snapToGrid w:val="0"/>
        <w:spacing w:before="312" w:beforeLines="100" w:after="312" w:afterLines="100"/>
        <w:rPr>
          <w:rFonts w:ascii="黑体" w:hAnsi="黑体" w:eastAsia="黑体"/>
          <w:b w:val="0"/>
          <w:bCs w:val="0"/>
          <w:color w:val="000000" w:themeColor="text1"/>
          <w:sz w:val="32"/>
          <w:szCs w:val="32"/>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p>
    <w:p>
      <w:pPr>
        <w:pStyle w:val="21"/>
        <w:jc w:val="center"/>
        <w:rPr>
          <w:rFonts w:ascii="黑体" w:hAnsi="黑体" w:eastAsia="黑体"/>
          <w:color w:val="000000" w:themeColor="text1"/>
          <w:sz w:val="32"/>
          <w:szCs w:val="32"/>
          <w14:textFill>
            <w14:solidFill>
              <w14:schemeClr w14:val="tx1"/>
            </w14:solidFill>
          </w14:textFill>
        </w:rPr>
      </w:pPr>
    </w:p>
    <w:p>
      <w:pPr>
        <w:snapToGrid w:val="0"/>
        <w:spacing w:line="360" w:lineRule="auto"/>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第六章  合同协议书（含廉政合同）</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ind w:firstLine="420" w:firstLineChars="2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w:t>
      </w:r>
    </w:p>
    <w:p>
      <w:pPr>
        <w:snapToGrid w:val="0"/>
        <w:spacing w:line="360" w:lineRule="auto"/>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仿宋" w:hAnsi="仿宋" w:eastAsia="仿宋"/>
          <w:color w:val="000000" w:themeColor="text1"/>
          <w:sz w:val="40"/>
          <w:szCs w:val="40"/>
          <w14:textFill>
            <w14:solidFill>
              <w14:schemeClr w14:val="tx1"/>
            </w14:solidFill>
          </w14:textFill>
        </w:rPr>
      </w:pPr>
      <w:r>
        <w:rPr>
          <w:rFonts w:hint="eastAsia" w:ascii="方正小标宋简体" w:eastAsia="方正小标宋简体"/>
          <w:color w:val="000000" w:themeColor="text1"/>
          <w:sz w:val="40"/>
          <w:szCs w:val="40"/>
          <w14:textFill>
            <w14:solidFill>
              <w14:schemeClr w14:val="tx1"/>
            </w14:solidFill>
          </w14:textFill>
        </w:rPr>
        <w:t>合同协议书</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甲方：四川成渝高速公路股份有限公司成渝分公司</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甲方根据乙方所拥有的维修实力和服务水平,决定将四川成渝高速公路股份有限公司成渝分公司成都管理处</w:t>
      </w:r>
      <w:r>
        <w:rPr>
          <w:rFonts w:hint="eastAsia" w:ascii="仿宋" w:hAnsi="仿宋" w:eastAsia="仿宋"/>
          <w:color w:val="000000" w:themeColor="text1"/>
          <w:sz w:val="28"/>
          <w:szCs w:val="28"/>
          <w:u w:val="single"/>
          <w14:textFill>
            <w14:solidFill>
              <w14:schemeClr w14:val="tx1"/>
            </w14:solidFill>
          </w14:textFill>
        </w:rPr>
        <w:t>龙泉</w:t>
      </w:r>
      <w:r>
        <w:rPr>
          <w:rFonts w:hint="eastAsia" w:ascii="仿宋" w:hAnsi="仿宋" w:eastAsia="仿宋"/>
          <w:color w:val="000000" w:themeColor="text1"/>
          <w:sz w:val="28"/>
          <w:szCs w:val="28"/>
          <w14:textFill>
            <w14:solidFill>
              <w14:schemeClr w14:val="tx1"/>
            </w14:solidFill>
          </w14:textFill>
        </w:rPr>
        <w:t>片区的生产用车及特种作业车辆送乙方定点维修保养。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乙方考虑到甲方为固定客户，愿为甲方提供优质、优惠及便捷服务，愿意甲方采用转账支付的形式结算车辆维修费。双方在平等自愿的基础上，协商一致，订立本协议。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一、合同工期</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合同工期：12个月。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二、合同价款</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本合同为单价合同，按照车辆定点维修保养清单，乙方承担本合同项目实施的单价为业主估算单价的</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乙方技术管理人员：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。乙方检验人员：</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三、维修前提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甲方车辆到乙方维修时，乙方首先需对甲方车辆进行检查确定故障原因，对维修项目和人工费进行预算，并填写《车辆维修申请单》和预算清单交甲方进行审核，由甲方主要负责人签字确认。甲方车辆需持有《车辆维修申请单》，报修单上要有甲方主要负责人签字，乙方见单后即可维修车辆。</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乙方按照甲方车辆的送修要求进行维修。甲方有义务提供全部车辆情况并要求车辆驾驶员配合乙方的工作，准备派修单或电话请示领导并详细说明车辆故障。若在外出现故障，乙方有义务及时派出技术工人急救维修，甲方应负担合理的急救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四、车辆维修</w:t>
      </w:r>
    </w:p>
    <w:p>
      <w:pPr>
        <w:snapToGrid w:val="0"/>
        <w:spacing w:line="360" w:lineRule="auto"/>
        <w:ind w:firstLine="560" w:firstLineChars="200"/>
        <w:rPr>
          <w:rFonts w:ascii="仿宋" w:hAnsi="仿宋" w:eastAsia="仿宋"/>
          <w:color w:val="000000" w:themeColor="text1"/>
          <w:sz w:val="28"/>
          <w:szCs w:val="28"/>
          <w:highlight w:val="yellow"/>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本协议签订前，乙方须按比选文件要求向甲方缴纳履约保证金，保证使用正规厂家生产的配件（材料）维修甲方的车辆，履约保证金以银行保函或现金、支票形式支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（二）维修中配件质量保证期按国家规定的标准执行；乙方维修完毕后，甲方对维修部位检查发现仍有质量问题，乙方须继续修理至合格为止，不再收取甲方任何费用。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（三）乙方维修完车辆后，须把与本次维修更换的旧配件、有关的工时费、配件（材料）费用明细表签字和盖章后的一联交于甲方司机带回甲方。</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（四）未按规定手续进行维修的或甲方司机擅自送修的，甲方不承担任何费用。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（五）维修中乙方发现有新的故障需要维修时，须先向甲方通报，甲方车管负责人到场确认后方可维修。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（六）若乙方在车辆维修中弄虚作假，甲方有权解除本协议，并有权将乙方交纳的全部或部分履约保证金作为违约金进行扣减，或抵扣因乙方无法完成相应修理工作而委托其他第三方进行维修的相关修理费用。</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(七)鉴于甲方工作行业的特殊，乙方必须在法定节假日（特别是春节期间）安排值班人员及时修复甲方故障车辆，确保甲方工作车辆正常行驶。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维修质量保证：乙方对甲方的维修车辆提供质量承诺：大修质保100天或10000公里，二级保养质保30天或5000公里，小修质保15天或2500公里，前述天数或公里数晚届至时为质保期。乙方需保证维修质量，出现维修质量问题时，如果属于乙方责任，乙方完全承担汽车维修规定的相应责任并保证返修合格；但如果有以下情况之一，乙方不承担任何责任：</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1.甲方车辆驾驶员操作不当；</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2.甲方自备的零件有质量问题；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3.车辆维修质保期内，甲方车辆在其他修理厂进行过相关范围内的检修；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4.乙方所维修的部位受外力破坏。</w:t>
      </w:r>
      <w:r>
        <w:rPr>
          <w:rFonts w:hint="eastAsia" w:ascii="仿宋" w:hAnsi="仿宋" w:eastAsia="仿宋"/>
          <w:color w:val="000000" w:themeColor="text1"/>
          <w:sz w:val="28"/>
          <w:szCs w:val="28"/>
          <w14:textFill>
            <w14:solidFill>
              <w14:schemeClr w14:val="tx1"/>
            </w14:solidFill>
          </w14:textFill>
        </w:rPr>
        <w:tab/>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五、结算方式</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每月实际维修数量按月结算支付。乙方执更换配件（材料）、工时明细表、对应金额的正规发票等付款申请材料，向甲方提出结算申请。双方根据本合同约定核算上月的维修保养费用，甲方将乙方接车人员与甲方相关负责人签字确认的月度维修结算清单进行审签，并于每月25日前将上月全额货款转至乙方银行基本账户。乙方未能按时、完整的提供付款申请材料的，甲方付款期限顺延。</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六、履约保证金的扣留及退还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履约保证金的扣留：5000.00（大写：伍仟元整）</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履约保证金的退还：履约担保在合同期满并由乙方提交退还申请后28天内无息退还。</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七、合同期限</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合同期限：12个月，合同签订之日起计算。本协议一式四份，甲方执三份，乙方执一份，并经双方代表签章后生效。</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八、合同争议</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对于因本合同履行而发生的争议，双方可协商解决，协商不成的向甲方所在的管辖法院提起诉讼。</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九、未尽事宜，由双方协商解决。</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autoSpaceDE w:val="0"/>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甲方：四川成渝高速公路股份有限公司       乙方：    （盖章)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成渝分公司(盖章)                                   </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法定代表人或                        法定代表人或</w:t>
      </w:r>
    </w:p>
    <w:p>
      <w:pPr>
        <w:autoSpaceDE w:val="0"/>
        <w:spacing w:line="500" w:lineRule="exact"/>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其委托代理人：                      其委托代理人：                             </w:t>
      </w:r>
    </w:p>
    <w:p>
      <w:pPr>
        <w:ind w:firstLine="840" w:firstLineChars="3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日期：   年   月   日             日期：  年   月   日</w:t>
      </w:r>
    </w:p>
    <w:p>
      <w:pPr>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 xml:space="preserve"> </w:t>
      </w: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jc w:val="center"/>
        <w:rPr>
          <w:rFonts w:ascii="方正小标宋简体" w:eastAsia="方正小标宋简体"/>
          <w:color w:val="000000" w:themeColor="text1"/>
          <w:sz w:val="40"/>
          <w:szCs w:val="40"/>
          <w14:textFill>
            <w14:solidFill>
              <w14:schemeClr w14:val="tx1"/>
            </w14:solidFill>
          </w14:textFill>
        </w:rPr>
      </w:pPr>
    </w:p>
    <w:p>
      <w:pPr>
        <w:snapToGrid w:val="0"/>
        <w:spacing w:line="360" w:lineRule="auto"/>
        <w:rPr>
          <w:rFonts w:ascii="方正小标宋简体" w:eastAsia="方正小标宋简体"/>
          <w:color w:val="000000" w:themeColor="text1"/>
          <w:sz w:val="40"/>
          <w:szCs w:val="40"/>
          <w14:textFill>
            <w14:solidFill>
              <w14:schemeClr w14:val="tx1"/>
            </w14:solidFill>
          </w14:textFill>
        </w:rPr>
      </w:pPr>
    </w:p>
    <w:p>
      <w:pPr>
        <w:jc w:val="center"/>
        <w:rPr>
          <w:rFonts w:ascii="仿宋_GB2312" w:eastAsia="仿宋_GB2312"/>
          <w:b/>
          <w:color w:val="000000" w:themeColor="text1"/>
          <w:sz w:val="44"/>
          <w:szCs w:val="44"/>
          <w14:textFill>
            <w14:solidFill>
              <w14:schemeClr w14:val="tx1"/>
            </w14:solidFill>
          </w14:textFill>
        </w:rPr>
      </w:pPr>
      <w:r>
        <w:rPr>
          <w:rFonts w:hint="eastAsia" w:ascii="仿宋_GB2312" w:eastAsia="仿宋_GB2312"/>
          <w:b/>
          <w:color w:val="000000" w:themeColor="text1"/>
          <w:sz w:val="44"/>
          <w:szCs w:val="44"/>
          <w14:textFill>
            <w14:solidFill>
              <w14:schemeClr w14:val="tx1"/>
            </w14:solidFill>
          </w14:textFill>
        </w:rPr>
        <w:t>廉政合同</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甲方：四川成渝高速公路股份有限公司成渝分公司</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乙方： </w:t>
      </w:r>
    </w:p>
    <w:p>
      <w:pPr>
        <w:spacing w:before="156" w:beforeLines="50"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根据党和国家有关廉政建设的规定，为做好物资购销业务活动中的党风廉政建设工作，保证资金的安全和有效使用，防止购销业务活动中的不廉行为发生，甲乙双方特订立如下合同。</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甲乙双方的权利和义务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一、严格遵守党的政策和国家有关法律法规，严格执行购销合同文件，自觉按合同办事。</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二、建立健全廉政制度，开展廉政教育，监督并认真查处违法违纪行为。</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三、发现对方在业务活动中有违反廉政规定的行为，有及时提醒对方纠正的权利和义务。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四、发现对方严重违反本合同义务条款的行为，有向其上级有关部门举报、建议给予处理并要求告知处理结果的权利。</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甲方的义务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一、甲方工作人员要秉公办事，不准营私舞弊，不准利用职权从事各种个人有偿中介活动。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二、甲方工作人员不得索要或接受乙方的礼金、回扣、有价证</w:t>
      </w:r>
      <w:r>
        <w:rPr>
          <w:rFonts w:hint="eastAsia" w:ascii="宋体" w:hAnsi="宋体"/>
          <w:color w:val="000000" w:themeColor="text1"/>
          <w:sz w:val="24"/>
          <w:szCs w:val="24"/>
          <w14:textFill>
            <w14:solidFill>
              <w14:schemeClr w14:val="tx1"/>
            </w14:solidFill>
          </w14:textFill>
        </w:rPr>
        <w:t>劵</w:t>
      </w:r>
      <w:r>
        <w:rPr>
          <w:rFonts w:hint="eastAsia" w:ascii="仿宋_GB2312" w:eastAsia="仿宋_GB2312"/>
          <w:color w:val="000000" w:themeColor="text1"/>
          <w:sz w:val="24"/>
          <w:szCs w:val="24"/>
          <w14:textFill>
            <w14:solidFill>
              <w14:schemeClr w14:val="tx1"/>
            </w14:solidFill>
          </w14:textFill>
        </w:rPr>
        <w:t>和贵重物品，不得在乙方报销任何应由甲方或个人支付的费用等。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三、甲方工作人员不得参加乙方安排的超标准宴请和娱乐活动；不得接受乙方提供的通讯工具、交通工具和高档办公用品等。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四、甲方工作人员不得要求或者接受乙方为其住房装修、婚丧嫁娶活动、配偶子女的工作安排以及出国、出境旅游等提供方便等。</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乙方的义务</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一、乙方不得以任何理由向甲方及其工作人员行贿或馈赠礼金、有价证</w:t>
      </w:r>
      <w:r>
        <w:rPr>
          <w:rFonts w:hint="eastAsia" w:ascii="宋体" w:hAnsi="宋体"/>
          <w:color w:val="000000" w:themeColor="text1"/>
          <w:sz w:val="24"/>
          <w:szCs w:val="24"/>
          <w14:textFill>
            <w14:solidFill>
              <w14:schemeClr w14:val="tx1"/>
            </w14:solidFill>
          </w14:textFill>
        </w:rPr>
        <w:t>劵</w:t>
      </w:r>
      <w:r>
        <w:rPr>
          <w:rFonts w:hint="eastAsia" w:ascii="仿宋_GB2312" w:eastAsia="仿宋_GB2312"/>
          <w:color w:val="000000" w:themeColor="text1"/>
          <w:sz w:val="24"/>
          <w:szCs w:val="24"/>
          <w14:textFill>
            <w14:solidFill>
              <w14:schemeClr w14:val="tx1"/>
            </w14:solidFill>
          </w14:textFill>
        </w:rPr>
        <w:t>、贵重礼品；不得以任何名义为甲方及其工作人员报销应由甲方单位或个人支付的任何费用。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二、乙方不得以任何理由安排甲方工作人员参加超标准宴请及娱乐活动。</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三、乙方不得为甲方单位和个人购置或提供通讯工具、交通工具和高档办公用品等。</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四、乙方不得为甲方工作人员住房装修、婚丧嫁娶活动、配偶子女的工作安排以及出国、出境旅游等提供方便等。</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违约责任</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一、甲方及其工作人员违反本合同第一、二条，按管理权限，依据有关规定给予党纪、政纪或组织处理；给乙方单位造成经济损失的，应予以赔偿。</w:t>
      </w:r>
    </w:p>
    <w:p>
      <w:pPr>
        <w:spacing w:line="480" w:lineRule="exact"/>
        <w:ind w:firstLine="480" w:firstLineChars="20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二、乙方及其工作人员违反本合同第一、三条，按管理权限，依据有关规定给予党纪、政纪或组织处理；给甲方单位造成经济损失的，应予以赔偿。</w:t>
      </w:r>
    </w:p>
    <w:p>
      <w:pPr>
        <w:numPr>
          <w:ilvl w:val="0"/>
          <w:numId w:val="3"/>
        </w:numPr>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双方约定：本合同由双方或双方上级单位的纪检监察机关负责监督执行。</w:t>
      </w:r>
    </w:p>
    <w:p>
      <w:pPr>
        <w:numPr>
          <w:ilvl w:val="0"/>
          <w:numId w:val="3"/>
        </w:numPr>
        <w:spacing w:line="480" w:lineRule="exact"/>
        <w:ind w:left="0" w:firstLine="435"/>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本合同与物资购销合同同时签署，有效期为甲乙双方签署之日起至该购销合同执行完毕止。</w:t>
      </w:r>
    </w:p>
    <w:p>
      <w:pPr>
        <w:numPr>
          <w:ilvl w:val="0"/>
          <w:numId w:val="3"/>
        </w:numPr>
        <w:spacing w:line="480" w:lineRule="exact"/>
        <w:ind w:left="0" w:firstLine="435"/>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本合同作为物质购销合同的附件，与物质购销合同具有同等的法律效力，经合同双方签署立即生效。</w:t>
      </w:r>
    </w:p>
    <w:p>
      <w:pPr>
        <w:numPr>
          <w:ilvl w:val="0"/>
          <w:numId w:val="3"/>
        </w:numPr>
        <w:spacing w:line="480" w:lineRule="exact"/>
        <w:ind w:left="0" w:firstLine="435"/>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 xml:space="preserve">  本合同一式六份，由甲乙双方各执一份，送交双方监督部门、甲方财务部门各一份。</w:t>
      </w:r>
      <w:r>
        <w:rPr>
          <w:rFonts w:hint="eastAsia" w:ascii="仿宋_GB2312" w:eastAsia="仿宋_GB2312"/>
          <w:color w:val="000000" w:themeColor="text1"/>
          <w:sz w:val="28"/>
          <w:szCs w:val="28"/>
          <w14:textFill>
            <w14:solidFill>
              <w14:schemeClr w14:val="tx1"/>
            </w14:solidFill>
          </w14:textFill>
        </w:rPr>
        <w:t xml:space="preserve"> </w:t>
      </w:r>
    </w:p>
    <w:p>
      <w:pPr>
        <w:ind w:left="1" w:hanging="1"/>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甲方单位：（盖章）                        乙方单位：（盖章）</w:t>
      </w:r>
    </w:p>
    <w:p>
      <w:pPr>
        <w:spacing w:line="160" w:lineRule="exact"/>
        <w:ind w:left="43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400" w:lineRule="exact"/>
        <w:ind w:left="1"/>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                               法定代表人</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或其                                     或其</w:t>
      </w:r>
    </w:p>
    <w:p>
      <w:pPr>
        <w:spacing w:line="4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授权的代理人：                           授权的代理人：</w:t>
      </w:r>
    </w:p>
    <w:p>
      <w:pPr>
        <w:spacing w:line="8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承办部门负责人：</w:t>
      </w:r>
    </w:p>
    <w:p>
      <w:pPr>
        <w:spacing w:line="400" w:lineRule="exact"/>
        <w:ind w:left="437"/>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甲方监督部门（盖章）                     乙方监督部门（盖章）</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单位地址：成都市成华区迎晖路8号           单位地址：</w:t>
      </w:r>
    </w:p>
    <w:p>
      <w:pPr>
        <w:spacing w:line="500" w:lineRule="exac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单位电话：028-84720161                     单位电话：</w:t>
      </w:r>
    </w:p>
    <w:p>
      <w:pPr>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年  月  日                           年  月  日</w:t>
      </w:r>
    </w:p>
    <w:p>
      <w:r>
        <w:rPr>
          <w:rFonts w:hint="eastAsia" w:ascii="仿宋_GB2312" w:eastAsia="仿宋_GB2312"/>
          <w:sz w:val="28"/>
          <w:szCs w:val="28"/>
        </w:rPr>
        <w:t xml:space="preserve"> </w:t>
      </w:r>
    </w:p>
    <w:sectPr>
      <w:pgSz w:w="11906" w:h="16838"/>
      <w:pgMar w:top="1440" w:right="1800" w:bottom="1440" w:left="1800" w:header="851" w:footer="992" w:gutter="0"/>
      <w:pgNumType w:fmt="numberInDash"/>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任艳红" w:date="2023-06-14T14:20:00Z" w:initials="">
    <w:p w14:paraId="42E747EB">
      <w:pPr>
        <w:pStyle w:val="5"/>
      </w:pPr>
      <w:r>
        <w:t>前面已要求独立法人资格</w:t>
      </w:r>
      <w:r>
        <w:rPr>
          <w:rFonts w:hint="eastAsia"/>
        </w:rPr>
        <w:t>，</w:t>
      </w:r>
      <w:r>
        <w:t>建议删除该段话</w:t>
      </w:r>
    </w:p>
  </w:comment>
  <w:comment w:id="1" w:author="任艳红" w:date="2023-06-14T14:21:00Z" w:initials="">
    <w:p w14:paraId="7A0E163C">
      <w:pPr>
        <w:pStyle w:val="5"/>
      </w:pPr>
      <w:r>
        <w:t>未要求提交财务状况报告</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E747EB" w15:done="0"/>
  <w15:commentEx w15:paraId="7A0E16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楷体à.ā">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- 2 -</w:t>
                    </w:r>
                    <w:r>
                      <w:rPr>
                        <w:color w:val="000000" w:themeColor="text1"/>
                        <w14:textFill>
                          <w14:solidFill>
                            <w14:schemeClr w14:val="tx1"/>
                          </w14:solidFill>
                        </w14:textFill>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D54CD"/>
    <w:multiLevelType w:val="singleLevel"/>
    <w:tmpl w:val="CADD54CD"/>
    <w:lvl w:ilvl="0" w:tentative="0">
      <w:start w:val="1"/>
      <w:numFmt w:val="decimal"/>
      <w:suff w:val="nothing"/>
      <w:lvlText w:val="%1、"/>
      <w:lvlJc w:val="left"/>
    </w:lvl>
  </w:abstractNum>
  <w:abstractNum w:abstractNumId="1">
    <w:nsid w:val="34571A48"/>
    <w:multiLevelType w:val="multilevel"/>
    <w:tmpl w:val="34571A4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8F12812"/>
    <w:multiLevelType w:val="multilevel"/>
    <w:tmpl w:val="38F12812"/>
    <w:lvl w:ilvl="0" w:tentative="0">
      <w:start w:val="1"/>
      <w:numFmt w:val="japaneseCounting"/>
      <w:lvlText w:val="第%1条"/>
      <w:lvlJc w:val="left"/>
      <w:pPr>
        <w:tabs>
          <w:tab w:val="left" w:pos="1275"/>
        </w:tabs>
        <w:ind w:left="1275" w:hanging="840"/>
      </w:pPr>
      <w:rPr>
        <w:rFonts w:hint="default" w:ascii="Times New Roman" w:hAnsi="Times New Roman" w:cs="Times New Roman"/>
      </w:rPr>
    </w:lvl>
    <w:lvl w:ilvl="1" w:tentative="0">
      <w:start w:val="1"/>
      <w:numFmt w:val="lowerLetter"/>
      <w:lvlText w:val="%2)"/>
      <w:lvlJc w:val="left"/>
      <w:pPr>
        <w:tabs>
          <w:tab w:val="left" w:pos="1275"/>
        </w:tabs>
        <w:ind w:left="1275" w:hanging="420"/>
      </w:pPr>
      <w:rPr>
        <w:rFonts w:hint="default" w:ascii="Times New Roman" w:hAnsi="Times New Roman" w:cs="Times New Roman"/>
      </w:rPr>
    </w:lvl>
    <w:lvl w:ilvl="2" w:tentative="0">
      <w:start w:val="1"/>
      <w:numFmt w:val="lowerRoman"/>
      <w:lvlText w:val="%3."/>
      <w:lvlJc w:val="right"/>
      <w:pPr>
        <w:tabs>
          <w:tab w:val="left" w:pos="1695"/>
        </w:tabs>
        <w:ind w:left="1695" w:hanging="420"/>
      </w:pPr>
      <w:rPr>
        <w:rFonts w:hint="default" w:ascii="Times New Roman" w:hAnsi="Times New Roman" w:cs="Times New Roman"/>
      </w:rPr>
    </w:lvl>
    <w:lvl w:ilvl="3" w:tentative="0">
      <w:start w:val="1"/>
      <w:numFmt w:val="decimal"/>
      <w:lvlText w:val="%4."/>
      <w:lvlJc w:val="left"/>
      <w:pPr>
        <w:tabs>
          <w:tab w:val="left" w:pos="2115"/>
        </w:tabs>
        <w:ind w:left="2115" w:hanging="420"/>
      </w:pPr>
      <w:rPr>
        <w:rFonts w:hint="default" w:ascii="Times New Roman" w:hAnsi="Times New Roman" w:cs="Times New Roman"/>
      </w:rPr>
    </w:lvl>
    <w:lvl w:ilvl="4" w:tentative="0">
      <w:start w:val="1"/>
      <w:numFmt w:val="lowerLetter"/>
      <w:lvlText w:val="%5)"/>
      <w:lvlJc w:val="left"/>
      <w:pPr>
        <w:tabs>
          <w:tab w:val="left" w:pos="2535"/>
        </w:tabs>
        <w:ind w:left="2535" w:hanging="420"/>
      </w:pPr>
      <w:rPr>
        <w:rFonts w:hint="default" w:ascii="Times New Roman" w:hAnsi="Times New Roman" w:cs="Times New Roman"/>
      </w:rPr>
    </w:lvl>
    <w:lvl w:ilvl="5" w:tentative="0">
      <w:start w:val="1"/>
      <w:numFmt w:val="lowerRoman"/>
      <w:lvlText w:val="%6."/>
      <w:lvlJc w:val="right"/>
      <w:pPr>
        <w:tabs>
          <w:tab w:val="left" w:pos="2955"/>
        </w:tabs>
        <w:ind w:left="2955" w:hanging="420"/>
      </w:pPr>
      <w:rPr>
        <w:rFonts w:hint="default" w:ascii="Times New Roman" w:hAnsi="Times New Roman" w:cs="Times New Roman"/>
      </w:rPr>
    </w:lvl>
    <w:lvl w:ilvl="6" w:tentative="0">
      <w:start w:val="1"/>
      <w:numFmt w:val="decimal"/>
      <w:lvlText w:val="%7."/>
      <w:lvlJc w:val="left"/>
      <w:pPr>
        <w:tabs>
          <w:tab w:val="left" w:pos="3375"/>
        </w:tabs>
        <w:ind w:left="3375" w:hanging="420"/>
      </w:pPr>
      <w:rPr>
        <w:rFonts w:hint="default" w:ascii="Times New Roman" w:hAnsi="Times New Roman" w:cs="Times New Roman"/>
      </w:rPr>
    </w:lvl>
    <w:lvl w:ilvl="7" w:tentative="0">
      <w:start w:val="1"/>
      <w:numFmt w:val="lowerLetter"/>
      <w:lvlText w:val="%8)"/>
      <w:lvlJc w:val="left"/>
      <w:pPr>
        <w:tabs>
          <w:tab w:val="left" w:pos="3795"/>
        </w:tabs>
        <w:ind w:left="3795" w:hanging="420"/>
      </w:pPr>
      <w:rPr>
        <w:rFonts w:hint="default" w:ascii="Times New Roman" w:hAnsi="Times New Roman" w:cs="Times New Roman"/>
      </w:rPr>
    </w:lvl>
    <w:lvl w:ilvl="8" w:tentative="0">
      <w:start w:val="1"/>
      <w:numFmt w:val="lowerRoman"/>
      <w:lvlText w:val="%9."/>
      <w:lvlJc w:val="right"/>
      <w:pPr>
        <w:tabs>
          <w:tab w:val="left" w:pos="4215"/>
        </w:tabs>
        <w:ind w:left="4215"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任艳红">
    <w15:presenceInfo w15:providerId="None" w15:userId="任艳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YTRmNDQ1NTE4ZDcwYTQ1YTdjYzhiZjkzOTk0M2UifQ=="/>
  </w:docVars>
  <w:rsids>
    <w:rsidRoot w:val="00A068C2"/>
    <w:rsid w:val="00037505"/>
    <w:rsid w:val="00095C84"/>
    <w:rsid w:val="002271AC"/>
    <w:rsid w:val="00283676"/>
    <w:rsid w:val="00865314"/>
    <w:rsid w:val="00883873"/>
    <w:rsid w:val="008D6584"/>
    <w:rsid w:val="009B4ABB"/>
    <w:rsid w:val="009F6D5F"/>
    <w:rsid w:val="00A068C2"/>
    <w:rsid w:val="00B51190"/>
    <w:rsid w:val="00C55350"/>
    <w:rsid w:val="00CC6054"/>
    <w:rsid w:val="00D96053"/>
    <w:rsid w:val="00DF05D2"/>
    <w:rsid w:val="01600226"/>
    <w:rsid w:val="019422A6"/>
    <w:rsid w:val="06926CDA"/>
    <w:rsid w:val="0897072C"/>
    <w:rsid w:val="08BF7DDF"/>
    <w:rsid w:val="08DD7A51"/>
    <w:rsid w:val="0FF82DDE"/>
    <w:rsid w:val="1266040A"/>
    <w:rsid w:val="15E87150"/>
    <w:rsid w:val="174801D6"/>
    <w:rsid w:val="21CD3582"/>
    <w:rsid w:val="226A56BC"/>
    <w:rsid w:val="23DF3942"/>
    <w:rsid w:val="2693315D"/>
    <w:rsid w:val="29183701"/>
    <w:rsid w:val="29CF181E"/>
    <w:rsid w:val="2BFE421F"/>
    <w:rsid w:val="305E17D7"/>
    <w:rsid w:val="38004A32"/>
    <w:rsid w:val="394E2CE4"/>
    <w:rsid w:val="3B996570"/>
    <w:rsid w:val="3D041142"/>
    <w:rsid w:val="40E634D8"/>
    <w:rsid w:val="446530FE"/>
    <w:rsid w:val="457358F5"/>
    <w:rsid w:val="49FD1556"/>
    <w:rsid w:val="4DC332C4"/>
    <w:rsid w:val="51BB75A8"/>
    <w:rsid w:val="51EE1B74"/>
    <w:rsid w:val="536F66C0"/>
    <w:rsid w:val="54AB1B5B"/>
    <w:rsid w:val="565F491F"/>
    <w:rsid w:val="5B260EE7"/>
    <w:rsid w:val="5EB91C5A"/>
    <w:rsid w:val="62133759"/>
    <w:rsid w:val="65501489"/>
    <w:rsid w:val="65A61B0E"/>
    <w:rsid w:val="6D227F6B"/>
    <w:rsid w:val="765145D2"/>
    <w:rsid w:val="796D39EC"/>
    <w:rsid w:val="7A3870CC"/>
    <w:rsid w:val="7E41572C"/>
    <w:rsid w:val="7F400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2"/>
    <w:qFormat/>
    <w:uiPriority w:val="99"/>
    <w:pPr>
      <w:keepNext/>
      <w:keepLines/>
      <w:spacing w:before="340" w:after="330" w:line="576" w:lineRule="auto"/>
      <w:outlineLvl w:val="0"/>
    </w:pPr>
    <w:rPr>
      <w:b/>
      <w:bCs/>
      <w:kern w:val="44"/>
      <w:sz w:val="44"/>
      <w:szCs w:val="4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rPr>
      <w:rFonts w:ascii="宋体"/>
      <w:kern w:val="0"/>
      <w:sz w:val="28"/>
      <w:szCs w:val="20"/>
    </w:rPr>
  </w:style>
  <w:style w:type="paragraph" w:styleId="3">
    <w:name w:val="Body Text Indent"/>
    <w:basedOn w:val="1"/>
    <w:link w:val="26"/>
    <w:semiHidden/>
    <w:unhideWhenUsed/>
    <w:qFormat/>
    <w:uiPriority w:val="99"/>
    <w:pPr>
      <w:ind w:firstLine="630"/>
    </w:pPr>
    <w:rPr>
      <w:sz w:val="32"/>
      <w:szCs w:val="32"/>
    </w:rPr>
  </w:style>
  <w:style w:type="paragraph" w:styleId="5">
    <w:name w:val="annotation text"/>
    <w:basedOn w:val="1"/>
    <w:link w:val="37"/>
    <w:semiHidden/>
    <w:unhideWhenUsed/>
    <w:qFormat/>
    <w:uiPriority w:val="99"/>
    <w:pPr>
      <w:jc w:val="left"/>
    </w:pPr>
  </w:style>
  <w:style w:type="paragraph" w:styleId="6">
    <w:name w:val="Body Text"/>
    <w:basedOn w:val="1"/>
    <w:next w:val="7"/>
    <w:link w:val="30"/>
    <w:unhideWhenUsed/>
    <w:qFormat/>
    <w:uiPriority w:val="99"/>
    <w:rPr>
      <w:rFonts w:ascii="华文新魏" w:hAnsi="Arial" w:eastAsia="华文新魏"/>
      <w:sz w:val="24"/>
      <w:szCs w:val="24"/>
    </w:rPr>
  </w:style>
  <w:style w:type="paragraph" w:customStyle="1" w:styleId="7">
    <w:name w:val="正文首行缩进1"/>
    <w:basedOn w:val="6"/>
    <w:qFormat/>
    <w:uiPriority w:val="0"/>
    <w:pPr>
      <w:ind w:firstLine="420" w:firstLineChars="100"/>
    </w:pPr>
  </w:style>
  <w:style w:type="paragraph" w:styleId="8">
    <w:name w:val="Plain Text"/>
    <w:basedOn w:val="1"/>
    <w:link w:val="31"/>
    <w:unhideWhenUsed/>
    <w:qFormat/>
    <w:uiPriority w:val="99"/>
    <w:rPr>
      <w:rFonts w:ascii="宋体" w:hAnsi="Courier New" w:cs="Courier New"/>
    </w:rPr>
  </w:style>
  <w:style w:type="paragraph" w:styleId="9">
    <w:name w:val="Balloon Text"/>
    <w:basedOn w:val="1"/>
    <w:link w:val="39"/>
    <w:semiHidden/>
    <w:unhideWhenUsed/>
    <w:qFormat/>
    <w:uiPriority w:val="99"/>
    <w:rPr>
      <w:sz w:val="18"/>
      <w:szCs w:val="18"/>
    </w:rPr>
  </w:style>
  <w:style w:type="paragraph" w:styleId="10">
    <w:name w:val="footer"/>
    <w:basedOn w:val="1"/>
    <w:link w:val="25"/>
    <w:semiHidden/>
    <w:unhideWhenUsed/>
    <w:qFormat/>
    <w:uiPriority w:val="99"/>
    <w:pPr>
      <w:snapToGrid w:val="0"/>
      <w:jc w:val="left"/>
    </w:pPr>
    <w:rPr>
      <w:rFonts w:ascii="Calibri" w:hAnsi="Calibri"/>
      <w:sz w:val="18"/>
      <w:szCs w:val="18"/>
    </w:rPr>
  </w:style>
  <w:style w:type="paragraph" w:styleId="11">
    <w:name w:val="header"/>
    <w:basedOn w:val="1"/>
    <w:link w:val="33"/>
    <w:semiHidden/>
    <w:unhideWhenUsed/>
    <w:qFormat/>
    <w:uiPriority w:val="99"/>
    <w:pPr>
      <w:pBdr>
        <w:bottom w:val="single" w:color="auto" w:sz="6" w:space="1"/>
      </w:pBdr>
      <w:snapToGrid w:val="0"/>
      <w:jc w:val="center"/>
    </w:pPr>
    <w:rPr>
      <w:rFonts w:ascii="Calibri" w:hAnsi="Calibri"/>
      <w:sz w:val="18"/>
      <w:szCs w:val="18"/>
    </w:rPr>
  </w:style>
  <w:style w:type="paragraph" w:styleId="12">
    <w:name w:val="toc 1"/>
    <w:basedOn w:val="1"/>
    <w:next w:val="1"/>
    <w:unhideWhenUsed/>
    <w:qFormat/>
    <w:uiPriority w:val="39"/>
  </w:style>
  <w:style w:type="paragraph" w:styleId="13">
    <w:name w:val="Normal (Web)"/>
    <w:basedOn w:val="1"/>
    <w:semiHidden/>
    <w:unhideWhenUsed/>
    <w:qFormat/>
    <w:uiPriority w:val="99"/>
    <w:pPr>
      <w:widowControl/>
      <w:spacing w:before="100" w:beforeAutospacing="1" w:after="100" w:afterAutospacing="1"/>
      <w:jc w:val="left"/>
    </w:pPr>
    <w:rPr>
      <w:rFonts w:ascii="宋体" w:hAnsi="宋体"/>
      <w:kern w:val="0"/>
      <w:sz w:val="18"/>
      <w:szCs w:val="18"/>
    </w:rPr>
  </w:style>
  <w:style w:type="paragraph" w:styleId="14">
    <w:name w:val="index 1"/>
    <w:basedOn w:val="1"/>
    <w:next w:val="1"/>
    <w:semiHidden/>
    <w:unhideWhenUsed/>
    <w:qFormat/>
    <w:uiPriority w:val="99"/>
    <w:pPr>
      <w:spacing w:line="360" w:lineRule="auto"/>
      <w:jc w:val="center"/>
    </w:pPr>
  </w:style>
  <w:style w:type="paragraph" w:styleId="15">
    <w:name w:val="annotation subject"/>
    <w:basedOn w:val="5"/>
    <w:next w:val="5"/>
    <w:link w:val="38"/>
    <w:semiHidden/>
    <w:unhideWhenUsed/>
    <w:qFormat/>
    <w:uiPriority w:val="99"/>
    <w:rPr>
      <w:b/>
      <w:bCs/>
    </w:rPr>
  </w:style>
  <w:style w:type="character" w:styleId="18">
    <w:name w:val="FollowedHyperlink"/>
    <w:basedOn w:val="17"/>
    <w:unhideWhenUsed/>
    <w:qFormat/>
    <w:uiPriority w:val="99"/>
    <w:rPr>
      <w:color w:val="800080"/>
      <w:u w:val="single"/>
    </w:rPr>
  </w:style>
  <w:style w:type="character" w:styleId="19">
    <w:name w:val="Hyperlink"/>
    <w:basedOn w:val="17"/>
    <w:unhideWhenUsed/>
    <w:qFormat/>
    <w:uiPriority w:val="99"/>
    <w:rPr>
      <w:color w:val="0000FF"/>
      <w:u w:val="single"/>
    </w:rPr>
  </w:style>
  <w:style w:type="character" w:styleId="20">
    <w:name w:val="annotation reference"/>
    <w:basedOn w:val="17"/>
    <w:semiHidden/>
    <w:unhideWhenUsed/>
    <w:qFormat/>
    <w:uiPriority w:val="99"/>
    <w:rPr>
      <w:sz w:val="21"/>
      <w:szCs w:val="21"/>
    </w:rPr>
  </w:style>
  <w:style w:type="paragraph" w:customStyle="1" w:styleId="21">
    <w:name w:val="正文首行缩进 21"/>
    <w:basedOn w:val="3"/>
    <w:qFormat/>
    <w:uiPriority w:val="0"/>
    <w:pPr>
      <w:spacing w:before="100" w:beforeAutospacing="1" w:after="120" w:line="360" w:lineRule="auto"/>
      <w:ind w:left="420" w:leftChars="200" w:firstLine="420"/>
    </w:pPr>
    <w:rPr>
      <w:rFonts w:ascii="宋体"/>
      <w:kern w:val="0"/>
      <w:sz w:val="28"/>
      <w:szCs w:val="28"/>
    </w:rPr>
  </w:style>
  <w:style w:type="character" w:customStyle="1" w:styleId="22">
    <w:name w:val="标题 1 Char"/>
    <w:basedOn w:val="17"/>
    <w:link w:val="4"/>
    <w:qFormat/>
    <w:uiPriority w:val="99"/>
    <w:rPr>
      <w:rFonts w:ascii="Times New Roman" w:hAnsi="Times New Roman" w:eastAsia="宋体" w:cs="Times New Roman"/>
      <w:b/>
      <w:bCs/>
      <w:kern w:val="44"/>
      <w:sz w:val="44"/>
      <w:szCs w:val="44"/>
    </w:rPr>
  </w:style>
  <w:style w:type="paragraph" w:customStyle="1" w:styleId="23">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Default"/>
    <w:basedOn w:val="1"/>
    <w:qFormat/>
    <w:uiPriority w:val="0"/>
    <w:pPr>
      <w:autoSpaceDE w:val="0"/>
      <w:autoSpaceDN w:val="0"/>
      <w:adjustRightInd w:val="0"/>
      <w:jc w:val="left"/>
    </w:pPr>
    <w:rPr>
      <w:rFonts w:ascii="楷体à.ā"/>
      <w:color w:val="000000"/>
      <w:kern w:val="0"/>
      <w:sz w:val="24"/>
      <w:szCs w:val="24"/>
    </w:rPr>
  </w:style>
  <w:style w:type="character" w:customStyle="1" w:styleId="25">
    <w:name w:val="页脚 Char"/>
    <w:basedOn w:val="17"/>
    <w:link w:val="10"/>
    <w:semiHidden/>
    <w:qFormat/>
    <w:uiPriority w:val="99"/>
    <w:rPr>
      <w:rFonts w:ascii="Calibri" w:hAnsi="Calibri" w:eastAsia="宋体" w:cs="Times New Roman"/>
      <w:sz w:val="18"/>
      <w:szCs w:val="18"/>
    </w:rPr>
  </w:style>
  <w:style w:type="character" w:customStyle="1" w:styleId="26">
    <w:name w:val="正文文本缩进 Char"/>
    <w:basedOn w:val="17"/>
    <w:link w:val="3"/>
    <w:semiHidden/>
    <w:qFormat/>
    <w:uiPriority w:val="99"/>
    <w:rPr>
      <w:rFonts w:ascii="Times New Roman" w:hAnsi="Times New Roman" w:eastAsia="宋体" w:cs="Times New Roman"/>
      <w:sz w:val="32"/>
      <w:szCs w:val="32"/>
    </w:rPr>
  </w:style>
  <w:style w:type="paragraph" w:customStyle="1" w:styleId="27">
    <w:name w:val="目录 11"/>
    <w:basedOn w:val="1"/>
    <w:next w:val="1"/>
    <w:semiHidden/>
    <w:qFormat/>
    <w:uiPriority w:val="0"/>
  </w:style>
  <w:style w:type="paragraph" w:customStyle="1" w:styleId="28">
    <w:name w:val="GW-正文"/>
    <w:basedOn w:val="1"/>
    <w:qFormat/>
    <w:uiPriority w:val="0"/>
    <w:pPr>
      <w:spacing w:line="360" w:lineRule="auto"/>
      <w:ind w:firstLine="200" w:firstLineChars="200"/>
    </w:pPr>
    <w:rPr>
      <w:rFonts w:eastAsia="仿宋_GB2312"/>
      <w:sz w:val="24"/>
      <w:szCs w:val="24"/>
    </w:rPr>
  </w:style>
  <w:style w:type="paragraph" w:customStyle="1" w:styleId="29">
    <w:name w:val="正文首行缩进两字符"/>
    <w:basedOn w:val="1"/>
    <w:qFormat/>
    <w:uiPriority w:val="0"/>
    <w:pPr>
      <w:spacing w:line="360" w:lineRule="auto"/>
      <w:ind w:firstLine="200" w:firstLineChars="200"/>
    </w:pPr>
  </w:style>
  <w:style w:type="character" w:customStyle="1" w:styleId="30">
    <w:name w:val="正文文本 Char"/>
    <w:basedOn w:val="17"/>
    <w:link w:val="6"/>
    <w:qFormat/>
    <w:uiPriority w:val="99"/>
    <w:rPr>
      <w:rFonts w:ascii="华文新魏" w:hAnsi="Arial" w:eastAsia="华文新魏" w:cs="Times New Roman"/>
      <w:sz w:val="24"/>
      <w:szCs w:val="24"/>
    </w:rPr>
  </w:style>
  <w:style w:type="character" w:customStyle="1" w:styleId="31">
    <w:name w:val="纯文本 Char"/>
    <w:basedOn w:val="17"/>
    <w:link w:val="8"/>
    <w:qFormat/>
    <w:uiPriority w:val="99"/>
    <w:rPr>
      <w:rFonts w:ascii="宋体" w:hAnsi="Courier New" w:eastAsia="宋体" w:cs="Courier New"/>
      <w:szCs w:val="21"/>
    </w:rPr>
  </w:style>
  <w:style w:type="paragraph" w:customStyle="1" w:styleId="32">
    <w:name w:val="样式"/>
    <w:basedOn w:val="1"/>
    <w:qFormat/>
    <w:uiPriority w:val="0"/>
    <w:pPr>
      <w:autoSpaceDE w:val="0"/>
      <w:autoSpaceDN w:val="0"/>
      <w:adjustRightInd w:val="0"/>
      <w:jc w:val="left"/>
    </w:pPr>
    <w:rPr>
      <w:rFonts w:ascii="宋体" w:hAnsi="宋体" w:cs="宋体"/>
      <w:kern w:val="0"/>
      <w:sz w:val="24"/>
      <w:szCs w:val="24"/>
    </w:rPr>
  </w:style>
  <w:style w:type="character" w:customStyle="1" w:styleId="33">
    <w:name w:val="页眉 Char"/>
    <w:basedOn w:val="17"/>
    <w:link w:val="11"/>
    <w:semiHidden/>
    <w:qFormat/>
    <w:uiPriority w:val="99"/>
    <w:rPr>
      <w:rFonts w:ascii="Calibri" w:hAnsi="Calibri" w:eastAsia="宋体" w:cs="Times New Roman"/>
      <w:sz w:val="18"/>
      <w:szCs w:val="18"/>
    </w:rPr>
  </w:style>
  <w:style w:type="character" w:customStyle="1" w:styleId="34">
    <w:name w:val="10"/>
    <w:basedOn w:val="17"/>
    <w:qFormat/>
    <w:uiPriority w:val="0"/>
    <w:rPr>
      <w:rFonts w:hint="default" w:ascii="Times New Roman" w:hAnsi="Times New Roman" w:cs="Times New Roman"/>
    </w:rPr>
  </w:style>
  <w:style w:type="character" w:customStyle="1" w:styleId="35">
    <w:name w:val="15"/>
    <w:basedOn w:val="17"/>
    <w:qFormat/>
    <w:uiPriority w:val="0"/>
    <w:rPr>
      <w:rFonts w:hint="default" w:ascii="Times New Roman" w:hAnsi="Times New Roman" w:cs="Times New Roman"/>
      <w:color w:val="0000FF"/>
      <w:u w:val="single"/>
    </w:rPr>
  </w:style>
  <w:style w:type="character" w:customStyle="1" w:styleId="36">
    <w:name w:val="16"/>
    <w:basedOn w:val="17"/>
    <w:qFormat/>
    <w:uiPriority w:val="0"/>
    <w:rPr>
      <w:rFonts w:hint="default" w:ascii="Times New Roman" w:hAnsi="Times New Roman" w:cs="Times New Roman"/>
    </w:rPr>
  </w:style>
  <w:style w:type="character" w:customStyle="1" w:styleId="37">
    <w:name w:val="批注文字 Char"/>
    <w:basedOn w:val="17"/>
    <w:link w:val="5"/>
    <w:semiHidden/>
    <w:qFormat/>
    <w:uiPriority w:val="99"/>
    <w:rPr>
      <w:kern w:val="2"/>
      <w:sz w:val="21"/>
      <w:szCs w:val="21"/>
    </w:rPr>
  </w:style>
  <w:style w:type="character" w:customStyle="1" w:styleId="38">
    <w:name w:val="批注主题 Char"/>
    <w:basedOn w:val="37"/>
    <w:link w:val="15"/>
    <w:semiHidden/>
    <w:qFormat/>
    <w:uiPriority w:val="99"/>
    <w:rPr>
      <w:b/>
      <w:bCs/>
      <w:kern w:val="2"/>
      <w:sz w:val="21"/>
      <w:szCs w:val="21"/>
    </w:rPr>
  </w:style>
  <w:style w:type="character" w:customStyle="1" w:styleId="39">
    <w:name w:val="批注框文本 Char"/>
    <w:basedOn w:val="17"/>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22237</Words>
  <Characters>27523</Characters>
  <Lines>447</Lines>
  <Paragraphs>125</Paragraphs>
  <TotalTime>14</TotalTime>
  <ScaleCrop>false</ScaleCrop>
  <LinksUpToDate>false</LinksUpToDate>
  <CharactersWithSpaces>28731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2023-06-05T09:24:00Z</dcterms:created>
  <dc:creator>邓 咏</dc:creator>
  <cp:lastModifiedBy>甄梁子铭</cp:lastModifiedBy>
  <cp:lastPrinted>2023-06-29T06:08:00Z</cp:lastPrinted>
  <dcterms:modified xsi:type="dcterms:W3CDTF">2023-06-30T08:48:04Z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F73C029A07C646848A5AC1FDA2E3897F_13</vt:lpwstr>
  </property>
</Properties>
</file>