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60" w:lineRule="exact"/>
        <w:jc w:val="center"/>
        <w:rPr>
          <w:rFonts w:ascii="仿宋_GB2312" w:hAnsi="仿宋_GB2312" w:eastAsia="仿宋_GB2312" w:cs="仿宋_GB2312"/>
          <w:sz w:val="48"/>
          <w:szCs w:val="48"/>
        </w:rPr>
      </w:pPr>
    </w:p>
    <w:p>
      <w:pPr>
        <w:widowControl/>
        <w:spacing w:line="460" w:lineRule="exact"/>
        <w:jc w:val="center"/>
        <w:rPr>
          <w:rFonts w:ascii="仿宋_GB2312" w:hAnsi="仿宋_GB2312" w:eastAsia="仿宋_GB2312" w:cs="仿宋_GB2312"/>
          <w:sz w:val="48"/>
          <w:szCs w:val="48"/>
        </w:rPr>
      </w:pPr>
    </w:p>
    <w:p>
      <w:pPr>
        <w:widowControl/>
        <w:spacing w:line="460" w:lineRule="exact"/>
        <w:jc w:val="center"/>
        <w:rPr>
          <w:rFonts w:ascii="仿宋_GB2312" w:hAnsi="仿宋_GB2312" w:eastAsia="仿宋_GB2312" w:cs="仿宋_GB2312"/>
          <w:sz w:val="48"/>
          <w:szCs w:val="48"/>
        </w:rPr>
      </w:pPr>
    </w:p>
    <w:p>
      <w:pPr>
        <w:tabs>
          <w:tab w:val="left" w:pos="1350"/>
          <w:tab w:val="center" w:pos="4156"/>
        </w:tabs>
        <w:spacing w:line="7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四川成渝高速公路股份有限公司成渝分公司                  周期性安全咨询服务项目</w:t>
      </w:r>
    </w:p>
    <w:p>
      <w:pPr>
        <w:widowControl/>
        <w:spacing w:line="760" w:lineRule="exact"/>
        <w:jc w:val="center"/>
        <w:rPr>
          <w:rFonts w:ascii="方正小标宋简体" w:hAnsi="方正小标宋简体" w:eastAsia="方正小标宋简体" w:cs="方正小标宋简体"/>
          <w:b/>
          <w:bCs/>
          <w:sz w:val="48"/>
          <w:szCs w:val="48"/>
        </w:rPr>
      </w:pPr>
    </w:p>
    <w:p>
      <w:pPr>
        <w:widowControl/>
        <w:spacing w:line="760" w:lineRule="exact"/>
        <w:jc w:val="center"/>
        <w:rPr>
          <w:rFonts w:ascii="方正小标宋简体" w:hAnsi="方正小标宋简体" w:eastAsia="方正小标宋简体" w:cs="方正小标宋简体"/>
          <w:b/>
          <w:bCs/>
          <w:sz w:val="48"/>
          <w:szCs w:val="48"/>
        </w:rPr>
      </w:pPr>
    </w:p>
    <w:p>
      <w:pPr>
        <w:widowControl/>
        <w:spacing w:line="760" w:lineRule="exact"/>
        <w:jc w:val="center"/>
        <w:rPr>
          <w:rFonts w:ascii="方正小标宋简体" w:hAnsi="方正小标宋简体" w:eastAsia="方正小标宋简体" w:cs="方正小标宋简体"/>
          <w:b/>
          <w:bCs/>
          <w:sz w:val="48"/>
          <w:szCs w:val="48"/>
        </w:rPr>
      </w:pPr>
    </w:p>
    <w:p>
      <w:pPr>
        <w:widowControl/>
        <w:spacing w:line="760" w:lineRule="exact"/>
        <w:jc w:val="center"/>
        <w:rPr>
          <w:rFonts w:ascii="方正小标宋简体" w:hAnsi="方正小标宋简体" w:eastAsia="方正小标宋简体" w:cs="方正小标宋简体"/>
          <w:b/>
          <w:bCs/>
          <w:sz w:val="44"/>
          <w:szCs w:val="36"/>
        </w:rPr>
      </w:pPr>
    </w:p>
    <w:p>
      <w:pPr>
        <w:widowControl/>
        <w:spacing w:line="760" w:lineRule="exact"/>
        <w:jc w:val="center"/>
        <w:rPr>
          <w:rFonts w:ascii="方正小标宋简体" w:hAnsi="方正小标宋简体" w:eastAsia="方正小标宋简体" w:cs="方正小标宋简体"/>
          <w:b/>
          <w:bCs/>
          <w:sz w:val="72"/>
          <w:szCs w:val="72"/>
        </w:rPr>
      </w:pPr>
      <w:r>
        <w:rPr>
          <w:rFonts w:hint="eastAsia" w:ascii="方正小标宋简体" w:hAnsi="方正小标宋简体" w:eastAsia="方正小标宋简体" w:cs="方正小标宋简体"/>
          <w:b/>
          <w:bCs/>
          <w:sz w:val="72"/>
          <w:szCs w:val="72"/>
        </w:rPr>
        <w:t>比 选 文 件</w:t>
      </w:r>
    </w:p>
    <w:p>
      <w:pPr>
        <w:widowControl/>
        <w:spacing w:line="760" w:lineRule="exact"/>
        <w:jc w:val="center"/>
        <w:rPr>
          <w:rFonts w:ascii="方正小标宋简体" w:hAnsi="方正小标宋简体" w:eastAsia="方正小标宋简体" w:cs="方正小标宋简体"/>
          <w:b/>
          <w:bCs/>
          <w:sz w:val="48"/>
          <w:szCs w:val="36"/>
        </w:rPr>
      </w:pPr>
    </w:p>
    <w:p>
      <w:pPr>
        <w:widowControl/>
        <w:spacing w:line="760" w:lineRule="exact"/>
        <w:rPr>
          <w:rFonts w:ascii="方正小标宋简体" w:hAnsi="方正小标宋简体" w:eastAsia="方正小标宋简体" w:cs="方正小标宋简体"/>
          <w:b/>
          <w:bCs/>
          <w:sz w:val="48"/>
          <w:szCs w:val="36"/>
        </w:rPr>
      </w:pPr>
    </w:p>
    <w:p>
      <w:pPr>
        <w:widowControl/>
        <w:spacing w:line="760" w:lineRule="exact"/>
        <w:jc w:val="center"/>
        <w:rPr>
          <w:rFonts w:ascii="方正小标宋简体" w:hAnsi="方正小标宋简体" w:eastAsia="方正小标宋简体" w:cs="方正小标宋简体"/>
          <w:b/>
          <w:bCs/>
          <w:sz w:val="48"/>
          <w:szCs w:val="36"/>
        </w:rPr>
      </w:pPr>
    </w:p>
    <w:p>
      <w:pPr>
        <w:widowControl/>
        <w:spacing w:line="760" w:lineRule="exact"/>
        <w:jc w:val="center"/>
        <w:rPr>
          <w:rFonts w:ascii="方正小标宋简体" w:hAnsi="方正小标宋简体" w:eastAsia="方正小标宋简体" w:cs="方正小标宋简体"/>
          <w:b/>
          <w:bCs/>
          <w:sz w:val="48"/>
          <w:szCs w:val="36"/>
        </w:rPr>
      </w:pPr>
    </w:p>
    <w:p>
      <w:pPr>
        <w:widowControl/>
        <w:spacing w:line="760" w:lineRule="exact"/>
        <w:jc w:val="center"/>
        <w:rPr>
          <w:rFonts w:ascii="方正小标宋简体" w:hAnsi="方正小标宋简体" w:eastAsia="方正小标宋简体" w:cs="方正小标宋简体"/>
          <w:b/>
          <w:bCs/>
          <w:sz w:val="48"/>
          <w:szCs w:val="36"/>
        </w:rPr>
      </w:pPr>
    </w:p>
    <w:p>
      <w:pPr>
        <w:widowControl/>
        <w:spacing w:line="760" w:lineRule="exact"/>
        <w:jc w:val="center"/>
        <w:rPr>
          <w:rFonts w:ascii="方正小标宋简体" w:hAnsi="方正小标宋简体" w:eastAsia="方正小标宋简体" w:cs="方正小标宋简体"/>
          <w:b/>
          <w:bCs/>
          <w:sz w:val="48"/>
          <w:szCs w:val="36"/>
        </w:rPr>
      </w:pPr>
    </w:p>
    <w:p>
      <w:pPr>
        <w:widowControl/>
        <w:spacing w:line="76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比选人：四川成渝高速公路股份有限公司成渝分公司</w:t>
      </w:r>
    </w:p>
    <w:p>
      <w:pPr>
        <w:widowControl/>
        <w:spacing w:line="760" w:lineRule="exact"/>
        <w:jc w:val="center"/>
        <w:rPr>
          <w:rFonts w:ascii="方正小标宋简体" w:hAnsi="方正小标宋简体" w:eastAsia="方正小标宋简体" w:cs="方正小标宋简体"/>
          <w:b/>
          <w:bCs/>
          <w:sz w:val="32"/>
          <w:szCs w:val="32"/>
        </w:rPr>
      </w:pPr>
      <w:r>
        <w:rPr>
          <w:rFonts w:hint="eastAsia" w:ascii="方正小标宋简体" w:hAnsi="方正小标宋简体" w:eastAsia="方正小标宋简体" w:cs="方正小标宋简体"/>
          <w:b/>
          <w:bCs/>
          <w:sz w:val="32"/>
          <w:szCs w:val="32"/>
        </w:rPr>
        <w:t>2023年2月</w:t>
      </w:r>
    </w:p>
    <w:p/>
    <w:p>
      <w:pPr>
        <w:pStyle w:val="25"/>
        <w:tabs>
          <w:tab w:val="right" w:leader="dot" w:pos="8963"/>
        </w:tabs>
        <w:spacing w:line="600" w:lineRule="exact"/>
        <w:jc w:val="center"/>
        <w:rPr>
          <w:rFonts w:ascii="仿宋_GB2312" w:hAnsi="仿宋_GB2312" w:eastAsia="仿宋_GB2312" w:cs="仿宋_GB2312"/>
          <w:sz w:val="32"/>
          <w:szCs w:val="32"/>
        </w:rPr>
      </w:pPr>
      <w:bookmarkStart w:id="0" w:name="_Toc11074"/>
      <w:bookmarkStart w:id="1" w:name="_Toc22153"/>
      <w:bookmarkStart w:id="2" w:name="_Toc17160"/>
      <w:bookmarkStart w:id="3" w:name="_Toc14967"/>
      <w:bookmarkStart w:id="4" w:name="_Toc7068"/>
      <w:bookmarkStart w:id="5" w:name="_Toc1372"/>
      <w:bookmarkStart w:id="6" w:name="_Toc23748"/>
      <w:bookmarkStart w:id="7" w:name="_Toc1486"/>
      <w:bookmarkStart w:id="8" w:name="_Toc27626"/>
      <w:r>
        <w:rPr>
          <w:rFonts w:ascii="仿宋_GB2312" w:hAnsi="仿宋_GB2312" w:eastAsia="仿宋_GB2312" w:cs="仿宋_GB2312"/>
          <w:sz w:val="32"/>
          <w:szCs w:val="32"/>
        </w:rPr>
        <w:br w:type="page"/>
      </w:r>
    </w:p>
    <w:p>
      <w:pPr>
        <w:pStyle w:val="25"/>
        <w:tabs>
          <w:tab w:val="right" w:leader="dot" w:pos="8963"/>
        </w:tabs>
        <w:spacing w:line="60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目录</w:t>
      </w:r>
    </w:p>
    <w:p>
      <w:pPr>
        <w:pStyle w:val="25"/>
        <w:tabs>
          <w:tab w:val="right" w:leader="dot" w:pos="8963"/>
        </w:tabs>
        <w:spacing w:line="600" w:lineRule="exact"/>
        <w:rPr>
          <w:rFonts w:ascii="仿宋_GB2312" w:hAnsi="仿宋_GB2312" w:eastAsia="仿宋_GB2312" w:cs="仿宋_GB2312"/>
          <w:sz w:val="28"/>
          <w:szCs w:val="28"/>
        </w:rPr>
      </w:pPr>
    </w:p>
    <w:p>
      <w:pPr>
        <w:pStyle w:val="25"/>
        <w:tabs>
          <w:tab w:val="right" w:leader="dot" w:pos="8963"/>
        </w:tabs>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TOC \o "1-3" \t "" \h \z \u </w:instrText>
      </w:r>
      <w:r>
        <w:rPr>
          <w:rFonts w:hint="eastAsia" w:ascii="仿宋_GB2312" w:hAnsi="仿宋_GB2312" w:eastAsia="仿宋_GB2312" w:cs="仿宋_GB2312"/>
          <w:sz w:val="28"/>
          <w:szCs w:val="28"/>
        </w:rPr>
        <w:fldChar w:fldCharType="separate"/>
      </w:r>
      <w:r>
        <w:fldChar w:fldCharType="begin"/>
      </w:r>
      <w:r>
        <w:instrText xml:space="preserve"> HYPERLINK \l "_Toc9915" </w:instrText>
      </w:r>
      <w:r>
        <w:fldChar w:fldCharType="separate"/>
      </w:r>
      <w:r>
        <w:rPr>
          <w:rFonts w:hint="eastAsia" w:ascii="仿宋_GB2312" w:hAnsi="仿宋_GB2312" w:eastAsia="仿宋_GB2312" w:cs="仿宋_GB2312"/>
          <w:sz w:val="28"/>
          <w:szCs w:val="28"/>
        </w:rPr>
        <w:t>第一章  比选公告</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_Toc9915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963"/>
        </w:tabs>
        <w:spacing w:line="600" w:lineRule="exact"/>
        <w:rPr>
          <w:rFonts w:ascii="仿宋_GB2312" w:hAnsi="仿宋_GB2312" w:eastAsia="仿宋_GB2312" w:cs="仿宋_GB2312"/>
          <w:sz w:val="28"/>
          <w:szCs w:val="28"/>
        </w:rPr>
      </w:pPr>
      <w:r>
        <w:fldChar w:fldCharType="begin"/>
      </w:r>
      <w:r>
        <w:instrText xml:space="preserve"> HYPERLINK \l "_Toc16721" </w:instrText>
      </w:r>
      <w:r>
        <w:fldChar w:fldCharType="separate"/>
      </w:r>
      <w:r>
        <w:rPr>
          <w:rFonts w:hint="eastAsia" w:ascii="仿宋_GB2312" w:hAnsi="仿宋_GB2312" w:eastAsia="仿宋_GB2312" w:cs="仿宋_GB2312"/>
          <w:sz w:val="28"/>
          <w:szCs w:val="28"/>
        </w:rPr>
        <w:t>第二章  比选申请须知</w:t>
      </w:r>
      <w:r>
        <w:rPr>
          <w:rFonts w:hint="eastAsia" w:ascii="仿宋_GB2312" w:hAnsi="仿宋_GB2312" w:eastAsia="仿宋_GB2312" w:cs="仿宋_GB2312"/>
          <w:sz w:val="28"/>
          <w:szCs w:val="28"/>
        </w:rPr>
        <w:tab/>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PAGEREF _Toc16721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fldChar w:fldCharType="end"/>
      </w:r>
    </w:p>
    <w:p>
      <w:pPr>
        <w:pStyle w:val="25"/>
        <w:tabs>
          <w:tab w:val="right" w:leader="dot" w:pos="8963"/>
        </w:tabs>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第三章  评审办法及标准</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 xml:space="preserve"> 10</w:t>
      </w:r>
    </w:p>
    <w:p>
      <w:pPr>
        <w:pStyle w:val="25"/>
        <w:tabs>
          <w:tab w:val="right" w:leader="dot" w:pos="8963"/>
        </w:tabs>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第四章  比选申请文件格式</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 xml:space="preserve"> 15</w:t>
      </w:r>
    </w:p>
    <w:p>
      <w:pPr>
        <w:pStyle w:val="25"/>
        <w:tabs>
          <w:tab w:val="right" w:leader="dot" w:pos="8963"/>
        </w:tabs>
        <w:spacing w:line="600" w:lineRule="exact"/>
        <w:rPr>
          <w:rFonts w:ascii="仿宋_GB2312" w:hAnsi="仿宋_GB2312" w:eastAsia="仿宋_GB2312" w:cs="仿宋_GB2312"/>
          <w:sz w:val="28"/>
          <w:szCs w:val="28"/>
        </w:rPr>
        <w:sectPr>
          <w:headerReference r:id="rId3" w:type="default"/>
          <w:footerReference r:id="rId4" w:type="default"/>
          <w:pgSz w:w="11911" w:h="16838"/>
          <w:pgMar w:top="1474" w:right="1474" w:bottom="1474" w:left="1474" w:header="799" w:footer="918" w:gutter="0"/>
          <w:cols w:space="0" w:num="1"/>
        </w:sectPr>
      </w:pP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第五章  协议条款及格式</w:t>
      </w:r>
      <w:r>
        <w:rPr>
          <w:rFonts w:ascii="仿宋_GB2312" w:hAnsi="仿宋_GB2312" w:eastAsia="仿宋_GB2312" w:cs="仿宋_GB2312"/>
          <w:sz w:val="28"/>
          <w:szCs w:val="28"/>
        </w:rPr>
        <w:t>……………………………………………</w:t>
      </w:r>
      <w:r>
        <w:rPr>
          <w:rFonts w:hint="eastAsia" w:ascii="仿宋_GB2312" w:hAnsi="仿宋_GB2312" w:eastAsia="仿宋_GB2312" w:cs="仿宋_GB2312"/>
          <w:sz w:val="28"/>
          <w:szCs w:val="28"/>
        </w:rPr>
        <w:t xml:space="preserve">   33</w:t>
      </w:r>
    </w:p>
    <w:p>
      <w:pPr>
        <w:pStyle w:val="5"/>
        <w:jc w:val="center"/>
        <w:rPr>
          <w:sz w:val="36"/>
          <w:szCs w:val="36"/>
        </w:rPr>
      </w:pPr>
      <w:bookmarkStart w:id="9" w:name="_Toc9915"/>
      <w:r>
        <w:rPr>
          <w:rFonts w:hint="eastAsia"/>
          <w:sz w:val="36"/>
          <w:szCs w:val="36"/>
        </w:rPr>
        <w:t>第一章  比选公告</w:t>
      </w:r>
      <w:bookmarkEnd w:id="0"/>
      <w:bookmarkEnd w:id="1"/>
      <w:bookmarkEnd w:id="2"/>
      <w:bookmarkEnd w:id="3"/>
      <w:bookmarkEnd w:id="4"/>
      <w:bookmarkEnd w:id="5"/>
      <w:bookmarkEnd w:id="6"/>
      <w:bookmarkEnd w:id="7"/>
      <w:bookmarkEnd w:id="8"/>
      <w:bookmarkEnd w:id="9"/>
    </w:p>
    <w:p>
      <w:pPr>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四川成渝高速公路股份有限公司成渝分公司</w:t>
      </w:r>
      <w:r>
        <w:rPr>
          <w:rFonts w:hint="eastAsia" w:ascii="仿宋_GB2312" w:hAnsi="仿宋_GB2312" w:eastAsia="仿宋_GB2312" w:cs="仿宋_GB2312"/>
          <w:sz w:val="28"/>
          <w:szCs w:val="24"/>
        </w:rPr>
        <w:t>（即比选人、发包人）因安全生产工作需要，拟选聘1家安全技术咨询服务机构为比选人提供周期性安全生产管理咨询服务，现将有关事宜公告如下：</w:t>
      </w:r>
    </w:p>
    <w:p>
      <w:pPr>
        <w:numPr>
          <w:ilvl w:val="255"/>
          <w:numId w:val="0"/>
        </w:numPr>
        <w:spacing w:line="360" w:lineRule="auto"/>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 xml:space="preserve">    1.项目概况与比选范围</w:t>
      </w:r>
    </w:p>
    <w:p>
      <w:pPr>
        <w:numPr>
          <w:ilvl w:val="255"/>
          <w:numId w:val="0"/>
        </w:numPr>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1.1项目名称：</w:t>
      </w:r>
      <w:r>
        <w:rPr>
          <w:rFonts w:hint="eastAsia" w:ascii="仿宋_GB2312" w:hAnsi="仿宋_GB2312" w:eastAsia="仿宋_GB2312" w:cs="仿宋_GB2312"/>
          <w:sz w:val="28"/>
          <w:szCs w:val="24"/>
          <w:u w:val="single"/>
        </w:rPr>
        <w:t>四川成渝高速公路股份有限公司成渝分公司周期性安全咨询服务项目。</w:t>
      </w:r>
    </w:p>
    <w:p>
      <w:pPr>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1</w:t>
      </w:r>
      <w:r>
        <w:rPr>
          <w:rFonts w:ascii="仿宋_GB2312" w:hAnsi="仿宋_GB2312" w:eastAsia="仿宋_GB2312" w:cs="仿宋_GB2312"/>
          <w:sz w:val="28"/>
          <w:szCs w:val="24"/>
        </w:rPr>
        <w:t xml:space="preserve">.2 </w:t>
      </w:r>
      <w:r>
        <w:rPr>
          <w:rFonts w:hint="eastAsia" w:ascii="仿宋_GB2312" w:hAnsi="仿宋_GB2312" w:eastAsia="仿宋_GB2312" w:cs="仿宋_GB2312"/>
          <w:sz w:val="28"/>
          <w:szCs w:val="24"/>
        </w:rPr>
        <w:t>比选范围及内容：</w:t>
      </w:r>
    </w:p>
    <w:p>
      <w:pPr>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按照四川成渝高速公路股份有限公司营运高速“三基”建设工作方案及实施方案要求，完成以下工作内容：</w:t>
      </w:r>
    </w:p>
    <w:tbl>
      <w:tblPr>
        <w:tblStyle w:val="31"/>
        <w:tblW w:w="484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8"/>
        <w:gridCol w:w="1982"/>
        <w:gridCol w:w="1843"/>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60" w:type="pct"/>
            <w:vAlign w:val="center"/>
          </w:tcPr>
          <w:p>
            <w:pPr>
              <w:adjustRightInd w:val="0"/>
              <w:snapToGrid w:val="0"/>
              <w:spacing w:line="360" w:lineRule="auto"/>
              <w:jc w:val="center"/>
              <w:rPr>
                <w:rFonts w:ascii="仿宋_GB2312" w:hAnsi="仿宋_GB2312" w:eastAsia="仿宋_GB2312" w:cs="仿宋_GB2312"/>
                <w:b/>
                <w:bCs/>
                <w:sz w:val="28"/>
                <w:szCs w:val="24"/>
              </w:rPr>
            </w:pPr>
            <w:bookmarkStart w:id="10" w:name="_Hlk118799618"/>
            <w:r>
              <w:rPr>
                <w:rFonts w:hint="eastAsia" w:ascii="仿宋_GB2312" w:hAnsi="仿宋_GB2312" w:eastAsia="仿宋_GB2312" w:cs="仿宋_GB2312"/>
                <w:b/>
                <w:bCs/>
                <w:sz w:val="28"/>
                <w:szCs w:val="24"/>
              </w:rPr>
              <w:t>序号</w:t>
            </w:r>
          </w:p>
        </w:tc>
        <w:tc>
          <w:tcPr>
            <w:tcW w:w="1114" w:type="pct"/>
            <w:vAlign w:val="center"/>
          </w:tcPr>
          <w:p>
            <w:pPr>
              <w:adjustRightInd w:val="0"/>
              <w:snapToGrid w:val="0"/>
              <w:spacing w:line="360" w:lineRule="auto"/>
              <w:jc w:val="center"/>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服务内容</w:t>
            </w:r>
          </w:p>
        </w:tc>
        <w:tc>
          <w:tcPr>
            <w:tcW w:w="1036" w:type="pct"/>
            <w:vAlign w:val="center"/>
          </w:tcPr>
          <w:p>
            <w:pPr>
              <w:adjustRightInd w:val="0"/>
              <w:snapToGrid w:val="0"/>
              <w:spacing w:line="360" w:lineRule="auto"/>
              <w:jc w:val="center"/>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成果</w:t>
            </w:r>
          </w:p>
        </w:tc>
        <w:tc>
          <w:tcPr>
            <w:tcW w:w="2390" w:type="pct"/>
            <w:vAlign w:val="center"/>
          </w:tcPr>
          <w:p>
            <w:pPr>
              <w:adjustRightInd w:val="0"/>
              <w:snapToGrid w:val="0"/>
              <w:spacing w:line="360" w:lineRule="auto"/>
              <w:jc w:val="center"/>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60" w:type="pc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1</w:t>
            </w:r>
          </w:p>
        </w:tc>
        <w:tc>
          <w:tcPr>
            <w:tcW w:w="1114" w:type="pct"/>
            <w:vAlign w:val="center"/>
          </w:tcPr>
          <w:p>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协助发包人通过安全生产标准化年度考评</w:t>
            </w:r>
          </w:p>
        </w:tc>
        <w:tc>
          <w:tcPr>
            <w:tcW w:w="1036" w:type="pc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安全标准化二级达标年度核查通过</w:t>
            </w:r>
          </w:p>
        </w:tc>
        <w:tc>
          <w:tcPr>
            <w:tcW w:w="2390" w:type="pc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《交通运输企业安全生产标准化建设评价管理办法》（交安监发〔2016〕133号）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60" w:type="pc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2</w:t>
            </w:r>
          </w:p>
        </w:tc>
        <w:tc>
          <w:tcPr>
            <w:tcW w:w="1114" w:type="pct"/>
            <w:vAlign w:val="center"/>
          </w:tcPr>
          <w:p>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安全生产标准化到期复评</w:t>
            </w:r>
          </w:p>
        </w:tc>
        <w:tc>
          <w:tcPr>
            <w:tcW w:w="1036" w:type="pc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安全标准化二级达标复评通过</w:t>
            </w:r>
          </w:p>
        </w:tc>
        <w:tc>
          <w:tcPr>
            <w:tcW w:w="2390" w:type="pc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《交通运输企业安全生产标准化建设评价管理办法》（交安监发〔2016〕133号）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60" w:type="pct"/>
            <w:vMerge w:val="restar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3</w:t>
            </w:r>
          </w:p>
        </w:tc>
        <w:tc>
          <w:tcPr>
            <w:tcW w:w="1114" w:type="pct"/>
            <w:vMerge w:val="restart"/>
            <w:vAlign w:val="center"/>
          </w:tcPr>
          <w:p>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双重预防机制持续改进</w:t>
            </w:r>
          </w:p>
        </w:tc>
        <w:tc>
          <w:tcPr>
            <w:tcW w:w="1036" w:type="pct"/>
            <w:vMerge w:val="restar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《隐患排查治理分析报告》</w:t>
            </w:r>
          </w:p>
        </w:tc>
        <w:tc>
          <w:tcPr>
            <w:tcW w:w="2390" w:type="pct"/>
            <w:vMerge w:val="restar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《交通运输部关于深化防范化解安全生产重大风险工作的意见》（交安监发〔2021〕2号）</w:t>
            </w:r>
            <w:r>
              <w:rPr>
                <w:rFonts w:hint="eastAsia" w:ascii="仿宋_GB2312" w:hAnsi="仿宋_GB2312" w:eastAsia="仿宋_GB2312" w:cs="仿宋_GB2312"/>
                <w:sz w:val="28"/>
                <w:szCs w:val="24"/>
              </w:rPr>
              <w:br w:type="textWrapping"/>
            </w:r>
            <w:r>
              <w:rPr>
                <w:rFonts w:hint="eastAsia" w:ascii="仿宋_GB2312" w:hAnsi="仿宋_GB2312" w:eastAsia="仿宋_GB2312" w:cs="仿宋_GB2312"/>
                <w:sz w:val="28"/>
                <w:szCs w:val="24"/>
              </w:rPr>
              <w:t>《公路水路行业安全生产风险管理暂行办法》（安监发〔2017〕60号）</w:t>
            </w:r>
            <w:r>
              <w:rPr>
                <w:rFonts w:hint="eastAsia" w:ascii="仿宋_GB2312" w:hAnsi="仿宋_GB2312" w:eastAsia="仿宋_GB2312" w:cs="仿宋_GB2312"/>
                <w:sz w:val="28"/>
                <w:szCs w:val="24"/>
              </w:rPr>
              <w:br w:type="textWrapping"/>
            </w:r>
            <w:r>
              <w:rPr>
                <w:rFonts w:hint="eastAsia" w:ascii="仿宋_GB2312" w:hAnsi="仿宋_GB2312" w:eastAsia="仿宋_GB2312" w:cs="仿宋_GB2312"/>
                <w:sz w:val="28"/>
                <w:szCs w:val="24"/>
              </w:rPr>
              <w:t>《国务院安委会办公室关于实施遏制重特大事故工作指南构建双重预防机制的意见》（安委办〔2016〕11号）</w:t>
            </w:r>
            <w:r>
              <w:rPr>
                <w:rFonts w:hint="eastAsia" w:ascii="仿宋_GB2312" w:hAnsi="仿宋_GB2312" w:eastAsia="仿宋_GB2312" w:cs="仿宋_GB2312"/>
                <w:sz w:val="28"/>
                <w:szCs w:val="24"/>
              </w:rPr>
              <w:br w:type="textWrapping"/>
            </w:r>
            <w:r>
              <w:rPr>
                <w:rFonts w:hint="eastAsia" w:ascii="仿宋_GB2312" w:hAnsi="仿宋_GB2312" w:eastAsia="仿宋_GB2312" w:cs="仿宋_GB2312"/>
                <w:sz w:val="28"/>
                <w:szCs w:val="24"/>
              </w:rPr>
              <w:t>《四川省交通运输行业标本兼治遏制重特大事故工作实施方案(川交安委〔2016〕5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1" w:hRule="atLeast"/>
        </w:trPr>
        <w:tc>
          <w:tcPr>
            <w:tcW w:w="460" w:type="pct"/>
            <w:vMerge w:val="continue"/>
            <w:vAlign w:val="center"/>
          </w:tcPr>
          <w:p>
            <w:pPr>
              <w:adjustRightInd w:val="0"/>
              <w:snapToGrid w:val="0"/>
              <w:spacing w:line="360" w:lineRule="auto"/>
              <w:jc w:val="center"/>
              <w:rPr>
                <w:rFonts w:ascii="仿宋_GB2312" w:hAnsi="仿宋_GB2312" w:eastAsia="仿宋_GB2312" w:cs="仿宋_GB2312"/>
                <w:sz w:val="28"/>
                <w:szCs w:val="24"/>
              </w:rPr>
            </w:pPr>
          </w:p>
        </w:tc>
        <w:tc>
          <w:tcPr>
            <w:tcW w:w="1114" w:type="pct"/>
            <w:vMerge w:val="continue"/>
            <w:vAlign w:val="center"/>
          </w:tcPr>
          <w:p>
            <w:pPr>
              <w:adjustRightInd w:val="0"/>
              <w:snapToGrid w:val="0"/>
              <w:spacing w:line="360" w:lineRule="auto"/>
              <w:rPr>
                <w:rFonts w:ascii="仿宋_GB2312" w:hAnsi="仿宋_GB2312" w:eastAsia="仿宋_GB2312" w:cs="仿宋_GB2312"/>
                <w:sz w:val="28"/>
                <w:szCs w:val="24"/>
              </w:rPr>
            </w:pPr>
          </w:p>
        </w:tc>
        <w:tc>
          <w:tcPr>
            <w:tcW w:w="1036" w:type="pct"/>
            <w:vMerge w:val="continue"/>
            <w:vAlign w:val="center"/>
          </w:tcPr>
          <w:p>
            <w:pPr>
              <w:adjustRightInd w:val="0"/>
              <w:snapToGrid w:val="0"/>
              <w:spacing w:line="360" w:lineRule="auto"/>
              <w:jc w:val="center"/>
              <w:rPr>
                <w:rFonts w:ascii="仿宋_GB2312" w:hAnsi="仿宋_GB2312" w:eastAsia="仿宋_GB2312" w:cs="仿宋_GB2312"/>
                <w:sz w:val="28"/>
                <w:szCs w:val="24"/>
              </w:rPr>
            </w:pPr>
          </w:p>
        </w:tc>
        <w:tc>
          <w:tcPr>
            <w:tcW w:w="2390" w:type="pct"/>
            <w:vMerge w:val="continue"/>
            <w:vAlign w:val="center"/>
          </w:tcPr>
          <w:p>
            <w:pPr>
              <w:adjustRightInd w:val="0"/>
              <w:snapToGrid w:val="0"/>
              <w:spacing w:line="360" w:lineRule="auto"/>
              <w:jc w:val="center"/>
              <w:rPr>
                <w:rFonts w:ascii="仿宋_GB2312" w:hAnsi="仿宋_GB2312" w:eastAsia="仿宋_GB2312" w:cs="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60" w:type="pc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4</w:t>
            </w:r>
          </w:p>
        </w:tc>
        <w:tc>
          <w:tcPr>
            <w:tcW w:w="1114" w:type="pct"/>
            <w:vAlign w:val="center"/>
          </w:tcPr>
          <w:p>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安全管理体系咨询与专家评审</w:t>
            </w:r>
          </w:p>
        </w:tc>
        <w:tc>
          <w:tcPr>
            <w:tcW w:w="1036" w:type="pc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包含《安全生产管理制度》《操作规程》《安全责任清单》动态修订</w:t>
            </w:r>
          </w:p>
        </w:tc>
        <w:tc>
          <w:tcPr>
            <w:tcW w:w="2390" w:type="pc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《交通运输部关于进一步加强交通运输安全生产体系建设的意见》（交安监发〔2022〕4号）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60" w:type="pc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5</w:t>
            </w:r>
          </w:p>
        </w:tc>
        <w:tc>
          <w:tcPr>
            <w:tcW w:w="1114" w:type="pct"/>
            <w:vAlign w:val="center"/>
          </w:tcPr>
          <w:p>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应急管理体系咨询与专家评审</w:t>
            </w:r>
          </w:p>
        </w:tc>
        <w:tc>
          <w:tcPr>
            <w:tcW w:w="1036" w:type="pc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包含《应急预案》动态修订、应急演练指导</w:t>
            </w:r>
          </w:p>
        </w:tc>
        <w:tc>
          <w:tcPr>
            <w:tcW w:w="2390" w:type="pc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《生产安全事故应急预案管理办法》（应急管理部2号令）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trPr>
        <w:tc>
          <w:tcPr>
            <w:tcW w:w="460" w:type="pc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6</w:t>
            </w:r>
          </w:p>
        </w:tc>
        <w:tc>
          <w:tcPr>
            <w:tcW w:w="1114" w:type="pct"/>
            <w:vAlign w:val="center"/>
          </w:tcPr>
          <w:p>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安全生产合规管理咨询</w:t>
            </w:r>
          </w:p>
        </w:tc>
        <w:tc>
          <w:tcPr>
            <w:tcW w:w="1036" w:type="pc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在线安全生产法律法规合规管理咨询答疑</w:t>
            </w:r>
          </w:p>
        </w:tc>
        <w:tc>
          <w:tcPr>
            <w:tcW w:w="2390" w:type="pct"/>
            <w:vAlign w:val="center"/>
          </w:tcPr>
          <w:p>
            <w:pPr>
              <w:adjustRightInd w:val="0"/>
              <w:snapToGrid w:val="0"/>
              <w:spacing w:line="360" w:lineRule="auto"/>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现实安全管理需要</w:t>
            </w:r>
          </w:p>
        </w:tc>
      </w:tr>
      <w:bookmarkEnd w:id="10"/>
    </w:tbl>
    <w:p>
      <w:pPr>
        <w:pStyle w:val="37"/>
        <w:spacing w:line="360" w:lineRule="auto"/>
        <w:ind w:firstLine="0" w:firstLineChars="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b/>
          <w:sz w:val="28"/>
          <w:szCs w:val="24"/>
        </w:rPr>
        <w:t xml:space="preserve"> 2.服务工期</w:t>
      </w:r>
    </w:p>
    <w:p>
      <w:pPr>
        <w:pStyle w:val="37"/>
        <w:spacing w:line="360" w:lineRule="auto"/>
        <w:ind w:firstLine="0" w:firstLineChars="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    此项目招标有效为三个自然年，合同采取一年一签的方式，在年度合同期满前1个月内，发包人根据承包人服务成果完成情况进行考核，考核合格后可续签次年合同。</w:t>
      </w:r>
    </w:p>
    <w:p>
      <w:pPr>
        <w:pStyle w:val="37"/>
        <w:spacing w:line="360" w:lineRule="auto"/>
        <w:ind w:firstLine="0" w:firstLineChars="0"/>
        <w:rPr>
          <w:rFonts w:ascii="仿宋_GB2312" w:hAnsi="仿宋_GB2312" w:eastAsia="仿宋_GB2312" w:cs="仿宋_GB2312"/>
          <w:b/>
          <w:bCs/>
          <w:sz w:val="28"/>
          <w:szCs w:val="24"/>
        </w:rPr>
      </w:pPr>
      <w:r>
        <w:rPr>
          <w:rFonts w:hint="eastAsia" w:ascii="仿宋_GB2312" w:hAnsi="仿宋_GB2312" w:eastAsia="仿宋_GB2312" w:cs="仿宋_GB2312"/>
          <w:sz w:val="28"/>
          <w:szCs w:val="24"/>
        </w:rPr>
        <w:t xml:space="preserve">   </w:t>
      </w:r>
      <w:r>
        <w:rPr>
          <w:rFonts w:hint="eastAsia" w:ascii="仿宋_GB2312" w:hAnsi="仿宋_GB2312" w:eastAsia="仿宋_GB2312" w:cs="仿宋_GB2312"/>
          <w:b/>
          <w:bCs/>
          <w:sz w:val="28"/>
          <w:szCs w:val="24"/>
        </w:rPr>
        <w:t xml:space="preserve"> 3.比选申请人的资格条件</w:t>
      </w:r>
    </w:p>
    <w:p>
      <w:pPr>
        <w:pStyle w:val="37"/>
        <w:spacing w:line="360" w:lineRule="auto"/>
        <w:ind w:firstLine="0" w:firstLineChars="0"/>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 xml:space="preserve">    根据《中华人民共和国安全生产法》以及其他安全生产中介服务机构相关规定要求，比选申请入应具备以下条件：</w:t>
      </w:r>
    </w:p>
    <w:p>
      <w:pPr>
        <w:spacing w:line="360" w:lineRule="auto"/>
        <w:ind w:firstLine="527"/>
        <w:rPr>
          <w:rFonts w:ascii="楷体_GB2312" w:hAnsi="楷体_GB2312" w:eastAsia="楷体_GB2312" w:cs="楷体_GB2312"/>
          <w:b/>
          <w:bCs/>
          <w:sz w:val="28"/>
          <w:szCs w:val="24"/>
        </w:rPr>
      </w:pPr>
      <w:r>
        <w:rPr>
          <w:rFonts w:hint="eastAsia" w:ascii="楷体_GB2312" w:hAnsi="楷体_GB2312" w:eastAsia="楷体_GB2312" w:cs="楷体_GB2312"/>
          <w:b/>
          <w:bCs/>
          <w:sz w:val="28"/>
          <w:szCs w:val="24"/>
        </w:rPr>
        <w:t>3.1资质要求</w:t>
      </w:r>
    </w:p>
    <w:p>
      <w:pPr>
        <w:spacing w:line="360" w:lineRule="auto"/>
        <w:ind w:firstLine="527"/>
        <w:rPr>
          <w:rFonts w:ascii="仿宋_GB2312" w:hAnsi="仿宋_GB2312" w:eastAsia="仿宋_GB2312" w:cs="仿宋_GB2312"/>
          <w:sz w:val="28"/>
          <w:szCs w:val="24"/>
        </w:rPr>
      </w:pPr>
      <w:r>
        <w:rPr>
          <w:rFonts w:hint="eastAsia" w:ascii="仿宋_GB2312" w:hAnsi="仿宋_GB2312" w:eastAsia="仿宋_GB2312" w:cs="仿宋_GB2312"/>
          <w:sz w:val="28"/>
          <w:szCs w:val="24"/>
        </w:rPr>
        <w:t>3.1.1投标人具备独立法人资格，持有有效营业执照或事业单位法人证书、基本账户开户许可证或基本账户信息证明材料。</w:t>
      </w:r>
    </w:p>
    <w:p>
      <w:pPr>
        <w:pStyle w:val="2"/>
        <w:spacing w:line="360" w:lineRule="auto"/>
        <w:ind w:left="0" w:leftChars="0"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3.1.2具有高速公路领域自主知识产权(即：国家专利</w:t>
      </w:r>
      <w:r>
        <w:rPr>
          <w:rFonts w:ascii="仿宋_GB2312" w:hAnsi="仿宋_GB2312" w:eastAsia="仿宋_GB2312" w:cs="仿宋_GB2312"/>
          <w:sz w:val="28"/>
          <w:szCs w:val="24"/>
        </w:rPr>
        <w:t>)</w:t>
      </w:r>
      <w:r>
        <w:rPr>
          <w:rFonts w:hint="eastAsia" w:ascii="仿宋_GB2312" w:hAnsi="仿宋_GB2312" w:eastAsia="仿宋_GB2312" w:cs="仿宋_GB2312"/>
          <w:sz w:val="28"/>
          <w:szCs w:val="24"/>
        </w:rPr>
        <w:t>不低于</w:t>
      </w:r>
      <w:r>
        <w:rPr>
          <w:rFonts w:ascii="仿宋_GB2312" w:hAnsi="仿宋_GB2312" w:eastAsia="仿宋_GB2312" w:cs="仿宋_GB2312"/>
          <w:sz w:val="28"/>
          <w:szCs w:val="24"/>
        </w:rPr>
        <w:t>4</w:t>
      </w:r>
      <w:r>
        <w:rPr>
          <w:rFonts w:hint="eastAsia" w:ascii="仿宋_GB2312" w:hAnsi="仿宋_GB2312" w:eastAsia="仿宋_GB2312" w:cs="仿宋_GB2312"/>
          <w:sz w:val="28"/>
          <w:szCs w:val="24"/>
        </w:rPr>
        <w:t>项。</w:t>
      </w:r>
    </w:p>
    <w:p>
      <w:pPr>
        <w:pStyle w:val="15"/>
        <w:adjustRightInd w:val="0"/>
        <w:spacing w:before="50" w:after="50" w:line="360" w:lineRule="auto"/>
        <w:ind w:firstLine="551" w:firstLineChars="196"/>
        <w:rPr>
          <w:rFonts w:ascii="楷体_GB2312" w:hAnsi="楷体_GB2312" w:eastAsia="楷体_GB2312" w:cs="楷体_GB2312"/>
          <w:b/>
          <w:bCs/>
          <w:sz w:val="28"/>
          <w:szCs w:val="24"/>
        </w:rPr>
      </w:pPr>
      <w:r>
        <w:rPr>
          <w:rFonts w:hint="eastAsia" w:ascii="楷体_GB2312" w:hAnsi="楷体_GB2312" w:eastAsia="楷体_GB2312" w:cs="楷体_GB2312"/>
          <w:b/>
          <w:bCs/>
          <w:sz w:val="28"/>
          <w:szCs w:val="24"/>
        </w:rPr>
        <w:t>3.2业绩要求</w:t>
      </w:r>
    </w:p>
    <w:p>
      <w:pPr>
        <w:pStyle w:val="15"/>
        <w:adjustRightInd w:val="0"/>
        <w:spacing w:before="50" w:after="50" w:line="360" w:lineRule="auto"/>
        <w:ind w:firstLine="548" w:firstLineChars="196"/>
        <w:rPr>
          <w:rFonts w:ascii="仿宋_GB2312" w:hAnsi="仿宋_GB2312" w:eastAsia="仿宋_GB2312" w:cs="仿宋_GB2312"/>
          <w:sz w:val="28"/>
          <w:szCs w:val="24"/>
        </w:rPr>
      </w:pPr>
      <w:r>
        <w:rPr>
          <w:rFonts w:hint="eastAsia" w:ascii="仿宋_GB2312" w:hAnsi="仿宋_GB2312" w:eastAsia="仿宋_GB2312" w:cs="仿宋_GB2312"/>
          <w:sz w:val="28"/>
          <w:szCs w:val="24"/>
        </w:rPr>
        <w:t>比选申请人近3年（自2020年1月1日以来，以合同签订时间为准）内完成过2个高速公路安全生产相关咨询服务项目。</w:t>
      </w:r>
    </w:p>
    <w:p>
      <w:pPr>
        <w:pStyle w:val="15"/>
        <w:adjustRightInd w:val="0"/>
        <w:spacing w:before="50" w:after="50" w:line="360" w:lineRule="auto"/>
        <w:ind w:firstLine="551" w:firstLineChars="196"/>
        <w:rPr>
          <w:rFonts w:ascii="楷体_GB2312" w:hAnsi="楷体_GB2312" w:eastAsia="楷体_GB2312" w:cs="楷体_GB2312"/>
          <w:b/>
          <w:bCs/>
          <w:sz w:val="28"/>
          <w:szCs w:val="24"/>
        </w:rPr>
      </w:pPr>
      <w:r>
        <w:rPr>
          <w:rFonts w:hint="eastAsia" w:ascii="楷体_GB2312" w:hAnsi="楷体_GB2312" w:eastAsia="楷体_GB2312" w:cs="楷体_GB2312"/>
          <w:b/>
          <w:bCs/>
          <w:sz w:val="28"/>
          <w:szCs w:val="24"/>
        </w:rPr>
        <w:t>3.3人员要求</w:t>
      </w:r>
    </w:p>
    <w:p>
      <w:pPr>
        <w:pStyle w:val="15"/>
        <w:adjustRightInd w:val="0"/>
        <w:spacing w:before="50" w:after="50" w:line="360" w:lineRule="auto"/>
        <w:ind w:firstLine="548" w:firstLineChars="196"/>
        <w:rPr>
          <w:rFonts w:ascii="仿宋_GB2312" w:hAnsi="仿宋_GB2312" w:eastAsia="仿宋_GB2312" w:cs="仿宋_GB2312"/>
          <w:sz w:val="28"/>
          <w:szCs w:val="24"/>
        </w:rPr>
      </w:pPr>
      <w:r>
        <w:rPr>
          <w:rFonts w:hint="eastAsia" w:ascii="仿宋_GB2312" w:hAnsi="仿宋_GB2312" w:eastAsia="仿宋_GB2312" w:cs="仿宋_GB2312"/>
          <w:sz w:val="28"/>
          <w:szCs w:val="24"/>
        </w:rPr>
        <w:t>项目负责人、技术负责人具有安全类中级及以上职称。</w:t>
      </w:r>
    </w:p>
    <w:p>
      <w:pPr>
        <w:pStyle w:val="15"/>
        <w:adjustRightInd w:val="0"/>
        <w:spacing w:before="50" w:after="50" w:line="360" w:lineRule="auto"/>
        <w:ind w:firstLine="551" w:firstLineChars="196"/>
        <w:rPr>
          <w:rFonts w:ascii="楷体_GB2312" w:hAnsi="楷体_GB2312" w:eastAsia="楷体_GB2312" w:cs="楷体_GB2312"/>
          <w:b/>
          <w:bCs/>
          <w:sz w:val="28"/>
          <w:szCs w:val="24"/>
        </w:rPr>
      </w:pPr>
      <w:r>
        <w:rPr>
          <w:rFonts w:hint="eastAsia" w:ascii="楷体_GB2312" w:hAnsi="楷体_GB2312" w:eastAsia="楷体_GB2312" w:cs="楷体_GB2312"/>
          <w:b/>
          <w:bCs/>
          <w:sz w:val="28"/>
          <w:szCs w:val="24"/>
        </w:rPr>
        <w:t>3.4信誉要求</w:t>
      </w:r>
    </w:p>
    <w:p>
      <w:pPr>
        <w:pStyle w:val="15"/>
        <w:adjustRightInd w:val="0"/>
        <w:spacing w:before="50" w:after="50" w:line="360" w:lineRule="auto"/>
        <w:ind w:firstLine="548" w:firstLineChars="196"/>
        <w:rPr>
          <w:rFonts w:ascii="仿宋_GB2312" w:hAnsi="仿宋_GB2312" w:eastAsia="仿宋_GB2312" w:cs="仿宋_GB2312"/>
          <w:sz w:val="28"/>
          <w:szCs w:val="24"/>
        </w:rPr>
      </w:pPr>
      <w:r>
        <w:rPr>
          <w:rFonts w:hint="eastAsia" w:ascii="仿宋_GB2312" w:hAnsi="仿宋_GB2312" w:eastAsia="仿宋_GB2312" w:cs="仿宋_GB2312"/>
          <w:sz w:val="28"/>
          <w:szCs w:val="24"/>
        </w:rPr>
        <w:t>近</w:t>
      </w:r>
      <w:r>
        <w:rPr>
          <w:rFonts w:ascii="仿宋_GB2312" w:hAnsi="仿宋_GB2312" w:eastAsia="仿宋_GB2312" w:cs="仿宋_GB2312"/>
          <w:sz w:val="28"/>
          <w:szCs w:val="24"/>
        </w:rPr>
        <w:t>三年（</w:t>
      </w:r>
      <w:r>
        <w:rPr>
          <w:rFonts w:hint="eastAsia" w:ascii="仿宋_GB2312" w:hAnsi="仿宋_GB2312" w:eastAsia="仿宋_GB2312" w:cs="仿宋_GB2312"/>
          <w:sz w:val="28"/>
          <w:szCs w:val="24"/>
        </w:rPr>
        <w:t>2020年1月1日起至本项目比选申请截止日期间</w:t>
      </w:r>
      <w:r>
        <w:rPr>
          <w:rFonts w:ascii="仿宋_GB2312" w:hAnsi="仿宋_GB2312" w:eastAsia="仿宋_GB2312" w:cs="仿宋_GB2312"/>
          <w:sz w:val="28"/>
          <w:szCs w:val="24"/>
        </w:rPr>
        <w:t>）</w:t>
      </w:r>
      <w:r>
        <w:rPr>
          <w:rFonts w:hint="eastAsia" w:ascii="仿宋_GB2312" w:hAnsi="仿宋_GB2312" w:eastAsia="仿宋_GB2312" w:cs="仿宋_GB2312"/>
          <w:sz w:val="28"/>
          <w:szCs w:val="24"/>
        </w:rPr>
        <w:t>比选申请人（单位）、法定代表人没有被人民法院生效判决或裁定认定为行贿犯罪（比选申请人须提交无行贿犯罪的承诺函）。</w:t>
      </w:r>
    </w:p>
    <w:p>
      <w:pPr>
        <w:pStyle w:val="37"/>
        <w:spacing w:line="360" w:lineRule="auto"/>
        <w:ind w:firstLine="0" w:firstLineChars="0"/>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 xml:space="preserve">    4.比选文件的获取</w:t>
      </w:r>
    </w:p>
    <w:p>
      <w:pPr>
        <w:pStyle w:val="37"/>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符合公告要求并有意愿参与的比选申请人请于2023年2月2日起自行在</w:t>
      </w:r>
      <w:r>
        <w:rPr>
          <w:rFonts w:ascii="仿宋_GB2312" w:hAnsi="仿宋_GB2312" w:eastAsia="仿宋_GB2312" w:cs="仿宋_GB2312"/>
          <w:sz w:val="28"/>
          <w:szCs w:val="24"/>
        </w:rPr>
        <w:t>四川成渝高速公路股份有限公司</w:t>
      </w:r>
      <w:r>
        <w:rPr>
          <w:rFonts w:hint="eastAsia" w:ascii="仿宋_GB2312" w:hAnsi="仿宋_GB2312" w:eastAsia="仿宋_GB2312" w:cs="仿宋_GB2312"/>
          <w:sz w:val="28"/>
          <w:szCs w:val="24"/>
        </w:rPr>
        <w:t>成渝分公司</w:t>
      </w:r>
      <w:r>
        <w:rPr>
          <w:rFonts w:ascii="仿宋_GB2312" w:hAnsi="仿宋_GB2312" w:eastAsia="仿宋_GB2312" w:cs="仿宋_GB2312"/>
          <w:sz w:val="28"/>
          <w:szCs w:val="24"/>
        </w:rPr>
        <w:t>网</w:t>
      </w:r>
      <w:r>
        <w:rPr>
          <w:rFonts w:hint="eastAsia" w:ascii="仿宋_GB2312" w:hAnsi="仿宋_GB2312" w:eastAsia="仿宋_GB2312" w:cs="仿宋_GB2312"/>
          <w:sz w:val="28"/>
          <w:szCs w:val="24"/>
        </w:rPr>
        <w:t>站</w:t>
      </w:r>
      <w:r>
        <w:rPr>
          <w:rFonts w:ascii="仿宋_GB2312" w:hAnsi="仿宋_GB2312" w:eastAsia="仿宋_GB2312" w:cs="仿宋_GB2312"/>
          <w:sz w:val="28"/>
          <w:szCs w:val="24"/>
        </w:rPr>
        <w:t>（</w:t>
      </w:r>
      <w:r>
        <w:rPr>
          <w:rFonts w:hint="eastAsia" w:ascii="仿宋_GB2312" w:hAnsi="仿宋_GB2312" w:eastAsia="仿宋_GB2312" w:cs="仿宋_GB2312"/>
          <w:sz w:val="28"/>
          <w:szCs w:val="24"/>
        </w:rPr>
        <w:t>http://www.sccygs.com/</w:t>
      </w:r>
      <w:r>
        <w:rPr>
          <w:rFonts w:ascii="仿宋_GB2312" w:hAnsi="仿宋_GB2312" w:eastAsia="仿宋_GB2312" w:cs="仿宋_GB2312"/>
          <w:sz w:val="28"/>
          <w:szCs w:val="24"/>
        </w:rPr>
        <w:t>）</w:t>
      </w:r>
      <w:r>
        <w:rPr>
          <w:rFonts w:hint="eastAsia" w:ascii="仿宋_GB2312" w:hAnsi="仿宋_GB2312" w:eastAsia="仿宋_GB2312" w:cs="仿宋_GB2312"/>
          <w:sz w:val="28"/>
          <w:szCs w:val="24"/>
        </w:rPr>
        <w:t>免费匿名下载比选文件。</w:t>
      </w:r>
    </w:p>
    <w:p>
      <w:pPr>
        <w:pStyle w:val="37"/>
        <w:numPr>
          <w:ilvl w:val="255"/>
          <w:numId w:val="0"/>
        </w:numPr>
        <w:spacing w:line="360" w:lineRule="auto"/>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 xml:space="preserve">    5.比选申请文件的递交</w:t>
      </w:r>
    </w:p>
    <w:p>
      <w:pPr>
        <w:pStyle w:val="12"/>
        <w:spacing w:line="360" w:lineRule="auto"/>
        <w:ind w:left="279" w:leftChars="133" w:firstLine="280" w:firstLineChars="100"/>
        <w:rPr>
          <w:rFonts w:ascii="仿宋_GB2312" w:hAnsi="仿宋_GB2312" w:eastAsia="仿宋_GB2312" w:cs="仿宋_GB2312"/>
          <w:sz w:val="28"/>
          <w:szCs w:val="24"/>
        </w:rPr>
      </w:pPr>
      <w:r>
        <w:rPr>
          <w:rFonts w:hint="eastAsia" w:ascii="仿宋_GB2312" w:hAnsi="仿宋_GB2312" w:eastAsia="仿宋_GB2312" w:cs="仿宋_GB2312"/>
          <w:sz w:val="28"/>
          <w:szCs w:val="24"/>
        </w:rPr>
        <w:t>比选申请文件递交时间为</w:t>
      </w:r>
      <w:r>
        <w:rPr>
          <w:rFonts w:hint="eastAsia" w:ascii="仿宋_GB2312" w:hAnsi="仿宋_GB2312" w:eastAsia="仿宋_GB2312" w:cs="仿宋_GB2312"/>
          <w:color w:val="FF0000"/>
          <w:sz w:val="28"/>
          <w:szCs w:val="24"/>
          <w:u w:val="single"/>
        </w:rPr>
        <w:t xml:space="preserve"> 2023 年 2 </w:t>
      </w:r>
      <w:r>
        <w:rPr>
          <w:rFonts w:hint="eastAsia" w:ascii="仿宋_GB2312" w:hAnsi="仿宋_GB2312" w:eastAsia="仿宋_GB2312" w:cs="仿宋_GB2312"/>
          <w:color w:val="FF0000"/>
          <w:sz w:val="28"/>
          <w:szCs w:val="24"/>
        </w:rPr>
        <w:t>月</w:t>
      </w:r>
      <w:r>
        <w:rPr>
          <w:rFonts w:hint="eastAsia" w:ascii="仿宋_GB2312" w:hAnsi="仿宋_GB2312" w:eastAsia="仿宋_GB2312" w:cs="仿宋_GB2312"/>
          <w:color w:val="FF0000"/>
          <w:sz w:val="28"/>
          <w:szCs w:val="24"/>
          <w:u w:val="single"/>
        </w:rPr>
        <w:t xml:space="preserve"> </w:t>
      </w:r>
      <w:r>
        <w:rPr>
          <w:rFonts w:hint="eastAsia" w:ascii="仿宋_GB2312" w:hAnsi="仿宋_GB2312" w:eastAsia="仿宋_GB2312" w:cs="仿宋_GB2312"/>
          <w:color w:val="FF0000"/>
          <w:sz w:val="28"/>
          <w:szCs w:val="24"/>
          <w:u w:val="single"/>
          <w:lang w:val="en-US" w:eastAsia="zh-CN"/>
        </w:rPr>
        <w:t>9</w:t>
      </w:r>
      <w:r>
        <w:rPr>
          <w:rFonts w:hint="eastAsia" w:ascii="仿宋_GB2312" w:hAnsi="仿宋_GB2312" w:eastAsia="仿宋_GB2312" w:cs="仿宋_GB2312"/>
          <w:color w:val="FF0000"/>
          <w:sz w:val="28"/>
          <w:szCs w:val="24"/>
          <w:u w:val="single"/>
        </w:rPr>
        <w:t xml:space="preserve"> </w:t>
      </w:r>
      <w:r>
        <w:rPr>
          <w:rFonts w:hint="eastAsia" w:ascii="仿宋_GB2312" w:hAnsi="仿宋_GB2312" w:eastAsia="仿宋_GB2312" w:cs="仿宋_GB2312"/>
          <w:color w:val="FF0000"/>
          <w:sz w:val="28"/>
          <w:szCs w:val="24"/>
        </w:rPr>
        <w:t>日</w:t>
      </w:r>
      <w:r>
        <w:rPr>
          <w:rFonts w:hint="eastAsia" w:ascii="仿宋_GB2312" w:hAnsi="仿宋_GB2312" w:eastAsia="仿宋_GB2312" w:cs="仿宋_GB2312"/>
          <w:color w:val="FF0000"/>
          <w:sz w:val="28"/>
          <w:szCs w:val="24"/>
          <w:u w:val="single"/>
        </w:rPr>
        <w:t xml:space="preserve"> 9 </w:t>
      </w:r>
      <w:r>
        <w:rPr>
          <w:rFonts w:hint="eastAsia" w:ascii="仿宋_GB2312" w:hAnsi="仿宋_GB2312" w:eastAsia="仿宋_GB2312" w:cs="仿宋_GB2312"/>
          <w:color w:val="FF0000"/>
          <w:sz w:val="28"/>
          <w:szCs w:val="24"/>
        </w:rPr>
        <w:t>时</w:t>
      </w:r>
      <w:r>
        <w:rPr>
          <w:rFonts w:hint="eastAsia" w:ascii="仿宋_GB2312" w:hAnsi="仿宋_GB2312" w:eastAsia="仿宋_GB2312" w:cs="仿宋_GB2312"/>
          <w:color w:val="FF0000"/>
          <w:sz w:val="28"/>
          <w:szCs w:val="24"/>
          <w:u w:val="single"/>
        </w:rPr>
        <w:t xml:space="preserve"> 30 </w:t>
      </w:r>
      <w:r>
        <w:rPr>
          <w:rFonts w:hint="eastAsia" w:ascii="仿宋_GB2312" w:hAnsi="仿宋_GB2312" w:eastAsia="仿宋_GB2312" w:cs="仿宋_GB2312"/>
          <w:color w:val="FF0000"/>
          <w:sz w:val="28"/>
          <w:szCs w:val="24"/>
        </w:rPr>
        <w:t>分至</w:t>
      </w:r>
      <w:r>
        <w:rPr>
          <w:rFonts w:hint="eastAsia" w:ascii="仿宋_GB2312" w:hAnsi="仿宋_GB2312" w:eastAsia="仿宋_GB2312" w:cs="仿宋_GB2312"/>
          <w:color w:val="FF0000"/>
          <w:sz w:val="28"/>
          <w:szCs w:val="24"/>
          <w:u w:val="single"/>
        </w:rPr>
        <w:t xml:space="preserve"> 10 时00 </w:t>
      </w:r>
      <w:r>
        <w:rPr>
          <w:rFonts w:hint="eastAsia" w:ascii="仿宋_GB2312" w:hAnsi="仿宋_GB2312" w:eastAsia="仿宋_GB2312" w:cs="仿宋_GB2312"/>
          <w:color w:val="FF0000"/>
          <w:sz w:val="28"/>
          <w:szCs w:val="24"/>
        </w:rPr>
        <w:t>分（北京时间）</w:t>
      </w:r>
      <w:r>
        <w:rPr>
          <w:rFonts w:hint="eastAsia" w:ascii="仿宋_GB2312" w:hAnsi="仿宋_GB2312" w:eastAsia="仿宋_GB2312" w:cs="仿宋_GB2312"/>
          <w:sz w:val="28"/>
          <w:szCs w:val="24"/>
        </w:rPr>
        <w:t>，递交截止时间为</w:t>
      </w:r>
      <w:r>
        <w:rPr>
          <w:rFonts w:hint="eastAsia" w:ascii="仿宋_GB2312" w:hAnsi="仿宋_GB2312" w:eastAsia="仿宋_GB2312" w:cs="仿宋_GB2312"/>
          <w:color w:val="FF0000"/>
          <w:sz w:val="28"/>
          <w:szCs w:val="24"/>
          <w:u w:val="single"/>
        </w:rPr>
        <w:t xml:space="preserve">2023 年 2 月 </w:t>
      </w:r>
      <w:r>
        <w:rPr>
          <w:rFonts w:hint="eastAsia" w:ascii="仿宋_GB2312" w:hAnsi="仿宋_GB2312" w:eastAsia="仿宋_GB2312" w:cs="仿宋_GB2312"/>
          <w:color w:val="FF0000"/>
          <w:sz w:val="28"/>
          <w:szCs w:val="24"/>
          <w:u w:val="single"/>
          <w:lang w:val="en-US" w:eastAsia="zh-CN"/>
        </w:rPr>
        <w:t>9</w:t>
      </w:r>
      <w:bookmarkStart w:id="56" w:name="_GoBack"/>
      <w:bookmarkEnd w:id="56"/>
      <w:r>
        <w:rPr>
          <w:rFonts w:hint="eastAsia" w:ascii="仿宋_GB2312" w:hAnsi="仿宋_GB2312" w:eastAsia="仿宋_GB2312" w:cs="仿宋_GB2312"/>
          <w:color w:val="FF0000"/>
          <w:sz w:val="28"/>
          <w:szCs w:val="24"/>
          <w:u w:val="single"/>
        </w:rPr>
        <w:t xml:space="preserve"> 日 10  时 00 分</w:t>
      </w:r>
      <w:r>
        <w:rPr>
          <w:rFonts w:hint="eastAsia" w:ascii="仿宋_GB2312" w:hAnsi="仿宋_GB2312" w:eastAsia="仿宋_GB2312" w:cs="仿宋_GB2312"/>
          <w:color w:val="FF0000"/>
          <w:sz w:val="28"/>
          <w:szCs w:val="24"/>
        </w:rPr>
        <w:t>（北京时间）</w:t>
      </w:r>
      <w:r>
        <w:rPr>
          <w:rFonts w:hint="eastAsia" w:ascii="仿宋_GB2312" w:hAnsi="仿宋_GB2312" w:eastAsia="仿宋_GB2312" w:cs="仿宋_GB2312"/>
          <w:sz w:val="28"/>
          <w:szCs w:val="24"/>
        </w:rPr>
        <w:t>。比选申请人必须将按要求密封完好的比选申请文件以面交方式送达：</w:t>
      </w:r>
      <w:r>
        <w:rPr>
          <w:rFonts w:hint="eastAsia" w:ascii="仿宋_GB2312" w:hAnsi="仿宋_GB2312" w:eastAsia="仿宋_GB2312" w:cs="仿宋_GB2312"/>
          <w:color w:val="FF0000"/>
          <w:sz w:val="28"/>
          <w:szCs w:val="24"/>
          <w:u w:val="single"/>
        </w:rPr>
        <w:t>四川成渝高速公路股份有限公司成渝分公司302室</w:t>
      </w:r>
      <w:r>
        <w:rPr>
          <w:rFonts w:hint="eastAsia" w:ascii="仿宋_GB2312" w:hAnsi="仿宋_GB2312" w:eastAsia="仿宋_GB2312" w:cs="仿宋_GB2312"/>
          <w:color w:val="FF0000"/>
          <w:sz w:val="28"/>
          <w:szCs w:val="24"/>
        </w:rPr>
        <w:t>。</w:t>
      </w:r>
      <w:r>
        <w:rPr>
          <w:rFonts w:hint="eastAsia" w:ascii="仿宋_GB2312" w:hAnsi="仿宋_GB2312" w:eastAsia="仿宋_GB2312" w:cs="仿宋_GB2312"/>
          <w:sz w:val="28"/>
          <w:szCs w:val="24"/>
        </w:rPr>
        <w:t>逾期送达的或者未送达指定地点的比选申请文件，比选人将不予受理。</w:t>
      </w:r>
    </w:p>
    <w:p>
      <w:pPr>
        <w:spacing w:line="360" w:lineRule="auto"/>
        <w:ind w:firstLine="562" w:firstLineChars="200"/>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6.评标办法</w:t>
      </w:r>
    </w:p>
    <w:p>
      <w:pPr>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本次比选采用资格后审，双信封形式，评标方法采用综合评分法</w:t>
      </w:r>
    </w:p>
    <w:p>
      <w:pPr>
        <w:spacing w:line="360" w:lineRule="auto"/>
        <w:rPr>
          <w:rFonts w:ascii="仿宋_GB2312" w:hAnsi="仿宋_GB2312" w:eastAsia="仿宋_GB2312" w:cs="仿宋_GB2312"/>
          <w:sz w:val="28"/>
          <w:szCs w:val="24"/>
        </w:rPr>
      </w:pPr>
      <w:r>
        <w:rPr>
          <w:rFonts w:hint="eastAsia" w:ascii="仿宋_GB2312" w:hAnsi="仿宋_GB2312" w:eastAsia="仿宋_GB2312" w:cs="仿宋_GB2312"/>
          <w:b/>
          <w:bCs/>
          <w:sz w:val="28"/>
          <w:szCs w:val="24"/>
        </w:rPr>
        <w:t xml:space="preserve">    7.开标</w:t>
      </w:r>
    </w:p>
    <w:p>
      <w:pPr>
        <w:pStyle w:val="12"/>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比选人定于比选申请文件送交截止时间的同一时间、同一地址举行公开开标，比选申请人应派代表出席并签认开标结果。</w:t>
      </w:r>
    </w:p>
    <w:p>
      <w:pPr>
        <w:pStyle w:val="12"/>
        <w:ind w:firstLine="562" w:firstLineChars="200"/>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8.公告发布及评标结果公示</w:t>
      </w:r>
    </w:p>
    <w:p>
      <w:pPr>
        <w:pStyle w:val="2"/>
        <w:spacing w:line="360" w:lineRule="auto"/>
        <w:ind w:left="0" w:leftChars="0"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本次比选公告、评标结果公示的发布媒体为四川成渝高速公路股份有限公司成渝分公司网站（http://www.sccygs.com），公示时间为3个工作日。</w:t>
      </w:r>
    </w:p>
    <w:p>
      <w:pPr>
        <w:spacing w:line="360" w:lineRule="auto"/>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 xml:space="preserve">    9.联系方式</w:t>
      </w:r>
    </w:p>
    <w:p>
      <w:pPr>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比选人：四川成渝高速公路股份有限公司成渝分公司</w:t>
      </w:r>
    </w:p>
    <w:p>
      <w:pPr>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比选人地址：四川省成都市成华区迎晖路8号</w:t>
      </w:r>
    </w:p>
    <w:p>
      <w:pPr>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网址：http://www.sccygs.com</w:t>
      </w:r>
    </w:p>
    <w:p>
      <w:pPr>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联系人：贺先生</w:t>
      </w:r>
    </w:p>
    <w:p>
      <w:pPr>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联系电话：028-60828071</w:t>
      </w:r>
    </w:p>
    <w:p>
      <w:pPr>
        <w:spacing w:line="360" w:lineRule="auto"/>
        <w:rPr>
          <w:rFonts w:ascii="仿宋_GB2312" w:hAnsi="仿宋_GB2312" w:eastAsia="仿宋_GB2312" w:cs="仿宋_GB2312"/>
          <w:sz w:val="28"/>
          <w:szCs w:val="24"/>
        </w:rPr>
      </w:pPr>
    </w:p>
    <w:p>
      <w:pPr>
        <w:spacing w:line="360" w:lineRule="auto"/>
        <w:rPr>
          <w:rFonts w:ascii="仿宋_GB2312" w:hAnsi="仿宋_GB2312" w:eastAsia="仿宋_GB2312" w:cs="仿宋_GB2312"/>
          <w:sz w:val="28"/>
          <w:szCs w:val="24"/>
        </w:rPr>
      </w:pPr>
    </w:p>
    <w:p>
      <w:pPr>
        <w:pStyle w:val="37"/>
        <w:numPr>
          <w:ilvl w:val="255"/>
          <w:numId w:val="0"/>
        </w:numPr>
        <w:spacing w:line="600" w:lineRule="exact"/>
        <w:rPr>
          <w:rFonts w:ascii="仿宋_GB2312" w:hAnsi="仿宋_GB2312" w:eastAsia="仿宋_GB2312" w:cs="仿宋_GB2312"/>
          <w:sz w:val="28"/>
          <w:szCs w:val="24"/>
        </w:rPr>
      </w:pPr>
    </w:p>
    <w:p>
      <w:pPr>
        <w:pStyle w:val="37"/>
        <w:spacing w:line="600" w:lineRule="exact"/>
        <w:ind w:firstLine="0" w:firstLineChars="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                                             2023年</w:t>
      </w: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2月</w:t>
      </w:r>
      <w:r>
        <w:rPr>
          <w:rFonts w:hint="eastAsia" w:ascii="仿宋_GB2312" w:hAnsi="仿宋_GB2312" w:eastAsia="仿宋_GB2312" w:cs="仿宋_GB2312"/>
          <w:sz w:val="28"/>
          <w:szCs w:val="24"/>
          <w:lang w:val="en-US" w:eastAsia="zh-CN"/>
        </w:rPr>
        <w:t>3</w:t>
      </w:r>
      <w:r>
        <w:rPr>
          <w:rFonts w:hint="eastAsia" w:ascii="仿宋_GB2312" w:hAnsi="仿宋_GB2312" w:eastAsia="仿宋_GB2312" w:cs="仿宋_GB2312"/>
          <w:sz w:val="28"/>
          <w:szCs w:val="24"/>
        </w:rPr>
        <w:t>日</w:t>
      </w:r>
    </w:p>
    <w:p>
      <w:pPr>
        <w:pStyle w:val="37"/>
        <w:spacing w:line="600" w:lineRule="exact"/>
        <w:ind w:firstLine="0" w:firstLineChars="0"/>
        <w:rPr>
          <w:rFonts w:ascii="仿宋_GB2312" w:hAnsi="仿宋_GB2312" w:eastAsia="仿宋_GB2312" w:cs="仿宋_GB2312"/>
          <w:sz w:val="28"/>
          <w:szCs w:val="24"/>
        </w:rPr>
      </w:pPr>
    </w:p>
    <w:p>
      <w:pPr>
        <w:rPr>
          <w:sz w:val="36"/>
          <w:szCs w:val="36"/>
        </w:rPr>
      </w:pPr>
      <w:bookmarkStart w:id="11" w:name="_Toc31651"/>
      <w:bookmarkStart w:id="12" w:name="_Toc639"/>
      <w:bookmarkStart w:id="13" w:name="_Toc22982"/>
      <w:bookmarkStart w:id="14" w:name="_Toc24990"/>
      <w:bookmarkStart w:id="15" w:name="_Toc16721"/>
      <w:bookmarkStart w:id="16" w:name="_Toc800"/>
      <w:bookmarkStart w:id="17" w:name="_Toc30488"/>
      <w:bookmarkStart w:id="18" w:name="_Toc14293"/>
      <w:bookmarkStart w:id="19" w:name="_Toc18961"/>
      <w:bookmarkStart w:id="20" w:name="_Toc22546"/>
      <w:r>
        <w:rPr>
          <w:rFonts w:hint="eastAsia"/>
          <w:sz w:val="36"/>
          <w:szCs w:val="36"/>
        </w:rPr>
        <w:br w:type="page"/>
      </w:r>
    </w:p>
    <w:p>
      <w:pPr>
        <w:pStyle w:val="5"/>
        <w:jc w:val="center"/>
        <w:rPr>
          <w:sz w:val="36"/>
          <w:szCs w:val="36"/>
        </w:rPr>
      </w:pPr>
      <w:r>
        <w:rPr>
          <w:rFonts w:hint="eastAsia"/>
          <w:sz w:val="36"/>
          <w:szCs w:val="36"/>
        </w:rPr>
        <w:t>第二章  比选申请须知</w:t>
      </w:r>
      <w:bookmarkEnd w:id="11"/>
      <w:bookmarkEnd w:id="12"/>
      <w:bookmarkEnd w:id="13"/>
      <w:bookmarkEnd w:id="14"/>
      <w:bookmarkEnd w:id="15"/>
      <w:bookmarkEnd w:id="16"/>
      <w:bookmarkEnd w:id="17"/>
      <w:bookmarkEnd w:id="18"/>
      <w:bookmarkEnd w:id="19"/>
      <w:bookmarkEnd w:id="20"/>
    </w:p>
    <w:tbl>
      <w:tblPr>
        <w:tblStyle w:val="30"/>
        <w:tblW w:w="935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96"/>
        <w:gridCol w:w="6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851" w:type="dxa"/>
            <w:noWrap/>
            <w:vAlign w:val="center"/>
          </w:tcPr>
          <w:p>
            <w:pPr>
              <w:pStyle w:val="15"/>
              <w:adjustRightInd w:val="0"/>
              <w:snapToGrid w:val="0"/>
              <w:spacing w:line="480" w:lineRule="exact"/>
              <w:jc w:val="center"/>
              <w:rPr>
                <w:rFonts w:hAnsi="宋体"/>
                <w:b/>
              </w:rPr>
            </w:pPr>
            <w:r>
              <w:rPr>
                <w:rFonts w:hint="eastAsia" w:hAnsi="宋体"/>
                <w:b/>
              </w:rPr>
              <w:t>序号</w:t>
            </w:r>
          </w:p>
        </w:tc>
        <w:tc>
          <w:tcPr>
            <w:tcW w:w="1796" w:type="dxa"/>
            <w:noWrap/>
            <w:vAlign w:val="center"/>
          </w:tcPr>
          <w:p>
            <w:pPr>
              <w:pStyle w:val="15"/>
              <w:adjustRightInd w:val="0"/>
              <w:snapToGrid w:val="0"/>
              <w:spacing w:line="480" w:lineRule="exact"/>
              <w:jc w:val="center"/>
              <w:rPr>
                <w:rFonts w:hAnsi="宋体"/>
                <w:b/>
              </w:rPr>
            </w:pPr>
            <w:r>
              <w:rPr>
                <w:rFonts w:hint="eastAsia" w:hAnsi="宋体"/>
                <w:b/>
              </w:rPr>
              <w:t>名称</w:t>
            </w:r>
          </w:p>
        </w:tc>
        <w:tc>
          <w:tcPr>
            <w:tcW w:w="6709" w:type="dxa"/>
            <w:noWrap/>
            <w:vAlign w:val="center"/>
          </w:tcPr>
          <w:p>
            <w:pPr>
              <w:pStyle w:val="15"/>
              <w:adjustRightInd w:val="0"/>
              <w:snapToGrid w:val="0"/>
              <w:spacing w:line="480" w:lineRule="exact"/>
              <w:jc w:val="center"/>
              <w:rPr>
                <w:rFonts w:hAnsi="宋体"/>
                <w:b/>
              </w:rPr>
            </w:pPr>
            <w:r>
              <w:rPr>
                <w:rFonts w:hint="eastAsia" w:hAnsi="宋体"/>
                <w:b/>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22" w:hRule="atLeast"/>
        </w:trPr>
        <w:tc>
          <w:tcPr>
            <w:tcW w:w="851" w:type="dxa"/>
            <w:noWrap/>
            <w:vAlign w:val="center"/>
          </w:tcPr>
          <w:p>
            <w:pPr>
              <w:adjustRightInd w:val="0"/>
              <w:snapToGrid w:val="0"/>
              <w:spacing w:line="480" w:lineRule="exact"/>
              <w:jc w:val="center"/>
              <w:rPr>
                <w:rFonts w:ascii="宋体" w:hAnsi="宋体"/>
                <w:szCs w:val="21"/>
              </w:rPr>
            </w:pPr>
            <w:r>
              <w:rPr>
                <w:rFonts w:hint="eastAsia" w:ascii="宋体" w:hAnsi="宋体"/>
                <w:szCs w:val="21"/>
              </w:rPr>
              <w:t>1</w:t>
            </w:r>
          </w:p>
        </w:tc>
        <w:tc>
          <w:tcPr>
            <w:tcW w:w="1796" w:type="dxa"/>
            <w:noWrap/>
            <w:vAlign w:val="center"/>
          </w:tcPr>
          <w:p>
            <w:pPr>
              <w:adjustRightInd w:val="0"/>
              <w:snapToGrid w:val="0"/>
              <w:spacing w:line="480" w:lineRule="exact"/>
              <w:jc w:val="center"/>
              <w:rPr>
                <w:rFonts w:ascii="宋体" w:hAnsi="宋体" w:cs="Courier New"/>
                <w:szCs w:val="21"/>
              </w:rPr>
            </w:pPr>
            <w:r>
              <w:rPr>
                <w:rFonts w:hint="eastAsia" w:ascii="宋体" w:hAnsi="宋体" w:cs="Courier New"/>
                <w:szCs w:val="21"/>
              </w:rPr>
              <w:t>比选人</w:t>
            </w:r>
          </w:p>
        </w:tc>
        <w:tc>
          <w:tcPr>
            <w:tcW w:w="6709" w:type="dxa"/>
            <w:noWrap/>
            <w:vAlign w:val="center"/>
          </w:tcPr>
          <w:p>
            <w:pPr>
              <w:adjustRightInd w:val="0"/>
              <w:snapToGrid w:val="0"/>
              <w:spacing w:before="120" w:beforeLines="50" w:after="120" w:afterLines="50" w:line="480" w:lineRule="exact"/>
              <w:ind w:left="420" w:hanging="420"/>
              <w:rPr>
                <w:rFonts w:ascii="宋体" w:hAnsi="宋体" w:cs="Courier New"/>
                <w:szCs w:val="21"/>
              </w:rPr>
            </w:pPr>
            <w:r>
              <w:rPr>
                <w:rFonts w:hint="eastAsia" w:ascii="宋体" w:hAnsi="宋体" w:cs="Courier New"/>
                <w:szCs w:val="21"/>
              </w:rPr>
              <w:t>比选人：四川成渝高速公路股份有限公司成渝分公司</w:t>
            </w:r>
          </w:p>
          <w:p>
            <w:pPr>
              <w:adjustRightInd w:val="0"/>
              <w:snapToGrid w:val="0"/>
              <w:spacing w:line="360" w:lineRule="auto"/>
              <w:jc w:val="left"/>
              <w:rPr>
                <w:rFonts w:ascii="宋体" w:hAnsi="宋体" w:cs="Courier New"/>
                <w:szCs w:val="21"/>
              </w:rPr>
            </w:pPr>
            <w:r>
              <w:rPr>
                <w:rFonts w:hint="eastAsia" w:ascii="宋体" w:hAnsi="宋体" w:cs="Courier New"/>
                <w:szCs w:val="21"/>
              </w:rPr>
              <w:t>地  址：四川省成都市成华区迎晖路8号</w:t>
            </w:r>
          </w:p>
          <w:p>
            <w:pPr>
              <w:adjustRightInd w:val="0"/>
              <w:snapToGrid w:val="0"/>
              <w:spacing w:line="360" w:lineRule="auto"/>
              <w:jc w:val="left"/>
              <w:rPr>
                <w:rFonts w:ascii="宋体" w:hAnsi="宋体" w:cs="Courier New"/>
                <w:szCs w:val="21"/>
              </w:rPr>
            </w:pPr>
            <w:r>
              <w:rPr>
                <w:rFonts w:hint="eastAsia" w:ascii="宋体" w:hAnsi="宋体" w:cs="Courier New"/>
                <w:szCs w:val="21"/>
              </w:rPr>
              <w:t>电  话：028-84085601</w:t>
            </w:r>
          </w:p>
          <w:p>
            <w:pPr>
              <w:adjustRightInd w:val="0"/>
              <w:snapToGrid w:val="0"/>
              <w:spacing w:line="360" w:lineRule="auto"/>
              <w:jc w:val="left"/>
              <w:rPr>
                <w:rFonts w:ascii="宋体" w:hAnsi="宋体" w:cs="Courier New"/>
                <w:szCs w:val="21"/>
              </w:rPr>
            </w:pPr>
            <w:r>
              <w:rPr>
                <w:rFonts w:hint="eastAsia" w:ascii="宋体" w:hAnsi="宋体" w:cs="Courier New"/>
                <w:szCs w:val="21"/>
              </w:rPr>
              <w:t>邮  编：628000</w:t>
            </w:r>
          </w:p>
          <w:p>
            <w:pPr>
              <w:adjustRightInd w:val="0"/>
              <w:snapToGrid w:val="0"/>
              <w:spacing w:line="360" w:lineRule="auto"/>
              <w:jc w:val="left"/>
              <w:rPr>
                <w:rFonts w:ascii="宋体" w:hAnsi="宋体" w:cs="Courier New"/>
                <w:szCs w:val="21"/>
              </w:rPr>
            </w:pPr>
            <w:r>
              <w:rPr>
                <w:rFonts w:hint="eastAsia" w:ascii="宋体" w:hAnsi="宋体" w:cs="Courier New"/>
                <w:szCs w:val="21"/>
              </w:rPr>
              <w:t>联系人：贺先生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1" w:type="dxa"/>
            <w:noWrap/>
            <w:vAlign w:val="center"/>
          </w:tcPr>
          <w:p>
            <w:pPr>
              <w:pStyle w:val="20"/>
              <w:adjustRightInd w:val="0"/>
              <w:spacing w:line="480" w:lineRule="exact"/>
              <w:jc w:val="center"/>
              <w:rPr>
                <w:rFonts w:ascii="宋体" w:hAnsi="宋体"/>
                <w:sz w:val="21"/>
                <w:szCs w:val="21"/>
              </w:rPr>
            </w:pPr>
            <w:r>
              <w:rPr>
                <w:rFonts w:hint="eastAsia" w:ascii="宋体" w:hAnsi="宋体"/>
                <w:sz w:val="21"/>
                <w:szCs w:val="21"/>
              </w:rPr>
              <w:t>2</w:t>
            </w:r>
          </w:p>
        </w:tc>
        <w:tc>
          <w:tcPr>
            <w:tcW w:w="1796" w:type="dxa"/>
            <w:noWrap/>
            <w:vAlign w:val="center"/>
          </w:tcPr>
          <w:p>
            <w:pPr>
              <w:adjustRightInd w:val="0"/>
              <w:snapToGrid w:val="0"/>
              <w:spacing w:line="480" w:lineRule="exact"/>
              <w:jc w:val="center"/>
              <w:rPr>
                <w:rFonts w:ascii="宋体" w:hAnsi="宋体"/>
                <w:szCs w:val="21"/>
              </w:rPr>
            </w:pPr>
            <w:r>
              <w:rPr>
                <w:rFonts w:hint="eastAsia" w:ascii="宋体" w:hAnsi="宋体"/>
                <w:szCs w:val="21"/>
              </w:rPr>
              <w:t>项目名称</w:t>
            </w:r>
          </w:p>
        </w:tc>
        <w:tc>
          <w:tcPr>
            <w:tcW w:w="6709" w:type="dxa"/>
            <w:noWrap/>
            <w:vAlign w:val="center"/>
          </w:tcPr>
          <w:p>
            <w:pPr>
              <w:pStyle w:val="53"/>
              <w:spacing w:line="480" w:lineRule="exact"/>
              <w:rPr>
                <w:rFonts w:ascii="宋体" w:hAnsi="宋体" w:cs="宋体"/>
                <w:bCs/>
                <w:kern w:val="2"/>
                <w:sz w:val="21"/>
              </w:rPr>
            </w:pPr>
            <w:r>
              <w:rPr>
                <w:rFonts w:hint="eastAsia" w:hAnsi="宋体"/>
                <w:sz w:val="21"/>
              </w:rPr>
              <w:t>四川成渝高速公路股份有限公司成渝分公司周期性安全咨询服务项目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851" w:type="dxa"/>
            <w:noWrap/>
            <w:vAlign w:val="center"/>
          </w:tcPr>
          <w:p>
            <w:pPr>
              <w:adjustRightInd w:val="0"/>
              <w:snapToGrid w:val="0"/>
              <w:spacing w:line="480" w:lineRule="exact"/>
              <w:jc w:val="center"/>
              <w:rPr>
                <w:rFonts w:ascii="宋体" w:hAnsi="宋体"/>
                <w:szCs w:val="21"/>
              </w:rPr>
            </w:pPr>
            <w:r>
              <w:rPr>
                <w:rFonts w:hint="eastAsia" w:ascii="宋体" w:hAnsi="宋体"/>
                <w:szCs w:val="21"/>
              </w:rPr>
              <w:t>3</w:t>
            </w:r>
          </w:p>
        </w:tc>
        <w:tc>
          <w:tcPr>
            <w:tcW w:w="1796" w:type="dxa"/>
            <w:noWrap/>
            <w:vAlign w:val="center"/>
          </w:tcPr>
          <w:p>
            <w:pPr>
              <w:adjustRightInd w:val="0"/>
              <w:snapToGrid w:val="0"/>
              <w:spacing w:line="480" w:lineRule="exact"/>
              <w:jc w:val="center"/>
              <w:rPr>
                <w:rFonts w:ascii="宋体" w:hAnsi="宋体"/>
                <w:szCs w:val="21"/>
              </w:rPr>
            </w:pPr>
            <w:r>
              <w:rPr>
                <w:rFonts w:hint="eastAsia" w:ascii="宋体" w:hAnsi="宋体"/>
                <w:szCs w:val="21"/>
              </w:rPr>
              <w:t>资金来源及比例</w:t>
            </w:r>
          </w:p>
        </w:tc>
        <w:tc>
          <w:tcPr>
            <w:tcW w:w="6709" w:type="dxa"/>
            <w:noWrap/>
            <w:vAlign w:val="center"/>
          </w:tcPr>
          <w:p>
            <w:pPr>
              <w:pStyle w:val="15"/>
              <w:adjustRightInd w:val="0"/>
              <w:snapToGrid w:val="0"/>
              <w:spacing w:line="480" w:lineRule="exact"/>
              <w:rPr>
                <w:rFonts w:hAnsi="宋体" w:cs="宋体"/>
              </w:rPr>
            </w:pPr>
            <w:r>
              <w:rPr>
                <w:rFonts w:hint="eastAsia" w:hAnsi="宋体"/>
              </w:rPr>
              <w:t>通行费收入</w:t>
            </w:r>
            <w:r>
              <w:rPr>
                <w:rFonts w:hint="eastAsia"/>
              </w:rPr>
              <w:t>，</w:t>
            </w:r>
            <w: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851" w:type="dxa"/>
            <w:noWrap/>
            <w:vAlign w:val="center"/>
          </w:tcPr>
          <w:p>
            <w:pPr>
              <w:pStyle w:val="15"/>
              <w:adjustRightInd w:val="0"/>
              <w:snapToGrid w:val="0"/>
              <w:spacing w:line="480" w:lineRule="exact"/>
              <w:jc w:val="center"/>
              <w:rPr>
                <w:rFonts w:hAnsi="宋体"/>
              </w:rPr>
            </w:pPr>
            <w:r>
              <w:rPr>
                <w:rFonts w:hint="eastAsia" w:hAnsi="宋体"/>
              </w:rPr>
              <w:t>4</w:t>
            </w:r>
          </w:p>
        </w:tc>
        <w:tc>
          <w:tcPr>
            <w:tcW w:w="1796" w:type="dxa"/>
            <w:noWrap/>
            <w:vAlign w:val="center"/>
          </w:tcPr>
          <w:p>
            <w:pPr>
              <w:pStyle w:val="15"/>
              <w:adjustRightInd w:val="0"/>
              <w:snapToGrid w:val="0"/>
              <w:spacing w:line="480" w:lineRule="exact"/>
              <w:jc w:val="center"/>
              <w:rPr>
                <w:rFonts w:hAnsi="宋体"/>
              </w:rPr>
            </w:pPr>
            <w:r>
              <w:rPr>
                <w:rFonts w:hint="eastAsia" w:hAnsi="宋体"/>
              </w:rPr>
              <w:t>资金落实情况</w:t>
            </w:r>
          </w:p>
        </w:tc>
        <w:tc>
          <w:tcPr>
            <w:tcW w:w="6709" w:type="dxa"/>
            <w:noWrap/>
            <w:vAlign w:val="center"/>
          </w:tcPr>
          <w:p>
            <w:pPr>
              <w:pStyle w:val="15"/>
              <w:adjustRightInd w:val="0"/>
              <w:snapToGrid w:val="0"/>
              <w:spacing w:line="480" w:lineRule="exact"/>
              <w:rPr>
                <w:rFonts w:hAnsi="宋体"/>
              </w:rPr>
            </w:pPr>
            <w:r>
              <w:rPr>
                <w:rFonts w:hint="eastAsia" w:hAnsi="宋体"/>
              </w:rPr>
              <w:t>资金已落实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51" w:type="dxa"/>
            <w:noWrap/>
            <w:vAlign w:val="center"/>
          </w:tcPr>
          <w:p>
            <w:pPr>
              <w:pStyle w:val="15"/>
              <w:adjustRightInd w:val="0"/>
              <w:snapToGrid w:val="0"/>
              <w:spacing w:line="480" w:lineRule="exact"/>
              <w:jc w:val="center"/>
              <w:rPr>
                <w:rFonts w:hAnsi="宋体"/>
              </w:rPr>
            </w:pPr>
            <w:r>
              <w:rPr>
                <w:rFonts w:hint="eastAsia" w:hAnsi="宋体"/>
              </w:rPr>
              <w:t>5</w:t>
            </w:r>
          </w:p>
        </w:tc>
        <w:tc>
          <w:tcPr>
            <w:tcW w:w="1796" w:type="dxa"/>
            <w:noWrap/>
            <w:vAlign w:val="center"/>
          </w:tcPr>
          <w:p>
            <w:pPr>
              <w:adjustRightInd w:val="0"/>
              <w:snapToGrid w:val="0"/>
              <w:spacing w:line="480" w:lineRule="exact"/>
              <w:jc w:val="center"/>
              <w:rPr>
                <w:rFonts w:ascii="宋体" w:hAnsi="宋体"/>
                <w:szCs w:val="21"/>
              </w:rPr>
            </w:pPr>
            <w:r>
              <w:rPr>
                <w:rFonts w:hint="eastAsia" w:ascii="宋体" w:hAnsi="宋体"/>
                <w:szCs w:val="21"/>
              </w:rPr>
              <w:t>比选范围/内容</w:t>
            </w:r>
          </w:p>
        </w:tc>
        <w:tc>
          <w:tcPr>
            <w:tcW w:w="6709" w:type="dxa"/>
            <w:noWrap/>
            <w:vAlign w:val="center"/>
          </w:tcPr>
          <w:p>
            <w:pPr>
              <w:adjustRightInd w:val="0"/>
              <w:snapToGrid w:val="0"/>
              <w:spacing w:line="480" w:lineRule="exact"/>
              <w:rPr>
                <w:rFonts w:ascii="宋体" w:hAnsi="宋体"/>
                <w:szCs w:val="21"/>
              </w:rPr>
            </w:pPr>
            <w:r>
              <w:rPr>
                <w:rFonts w:hint="eastAsia" w:ascii="宋体" w:hAnsi="宋体"/>
                <w:szCs w:val="21"/>
              </w:rPr>
              <w:t>同比选公告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51" w:type="dxa"/>
            <w:noWrap/>
            <w:vAlign w:val="center"/>
          </w:tcPr>
          <w:p>
            <w:pPr>
              <w:pStyle w:val="15"/>
              <w:adjustRightInd w:val="0"/>
              <w:snapToGrid w:val="0"/>
              <w:spacing w:line="480" w:lineRule="exact"/>
              <w:jc w:val="center"/>
              <w:rPr>
                <w:rFonts w:hAnsi="宋体"/>
              </w:rPr>
            </w:pPr>
            <w:r>
              <w:rPr>
                <w:rFonts w:hint="eastAsia" w:hAnsi="宋体"/>
              </w:rPr>
              <w:t>6</w:t>
            </w:r>
          </w:p>
        </w:tc>
        <w:tc>
          <w:tcPr>
            <w:tcW w:w="1796" w:type="dxa"/>
            <w:noWrap/>
            <w:vAlign w:val="center"/>
          </w:tcPr>
          <w:p>
            <w:pPr>
              <w:adjustRightInd w:val="0"/>
              <w:snapToGrid w:val="0"/>
              <w:spacing w:line="480" w:lineRule="exact"/>
              <w:jc w:val="center"/>
              <w:rPr>
                <w:rFonts w:ascii="宋体" w:hAnsi="宋体"/>
                <w:szCs w:val="21"/>
              </w:rPr>
            </w:pPr>
            <w:r>
              <w:rPr>
                <w:rFonts w:hint="eastAsia" w:ascii="宋体" w:hAnsi="宋体"/>
                <w:szCs w:val="21"/>
              </w:rPr>
              <w:t>比选申请人资格要求</w:t>
            </w:r>
          </w:p>
        </w:tc>
        <w:tc>
          <w:tcPr>
            <w:tcW w:w="6709" w:type="dxa"/>
            <w:noWrap/>
            <w:vAlign w:val="center"/>
          </w:tcPr>
          <w:p>
            <w:pPr>
              <w:pStyle w:val="15"/>
              <w:adjustRightInd w:val="0"/>
              <w:spacing w:before="50" w:after="50" w:line="360" w:lineRule="auto"/>
              <w:rPr>
                <w:rFonts w:ascii="Times New Roman" w:hAnsi="宋体"/>
              </w:rPr>
            </w:pPr>
            <w:r>
              <w:rPr>
                <w:rFonts w:hint="eastAsia" w:ascii="Times New Roman" w:hAnsi="宋体"/>
              </w:rPr>
              <w:t>（1）投标人具备独立法人资格，持有有效营业执照或事业单位法人证书、基本账户开户许可证或基本账户信息证明材料。</w:t>
            </w:r>
          </w:p>
          <w:p>
            <w:pPr>
              <w:pStyle w:val="15"/>
              <w:adjustRightInd w:val="0"/>
              <w:spacing w:before="50" w:after="50" w:line="360" w:lineRule="auto"/>
              <w:rPr>
                <w:rFonts w:ascii="Times New Roman" w:hAnsi="宋体"/>
              </w:rPr>
            </w:pPr>
            <w:r>
              <w:rPr>
                <w:rFonts w:hint="eastAsia" w:ascii="Times New Roman" w:hAnsi="宋体"/>
              </w:rPr>
              <w:t>（2）具有高速公路领域自主知识产权(即：国家专利)不低于4项。</w:t>
            </w:r>
          </w:p>
          <w:p>
            <w:pPr>
              <w:pStyle w:val="15"/>
              <w:adjustRightInd w:val="0"/>
              <w:spacing w:before="50" w:after="50" w:line="360" w:lineRule="auto"/>
              <w:rPr>
                <w:rFonts w:ascii="Times New Roman" w:hAnsi="宋体"/>
              </w:rPr>
            </w:pPr>
            <w:r>
              <w:rPr>
                <w:rFonts w:hint="eastAsia" w:ascii="Times New Roman" w:hAnsi="宋体"/>
              </w:rPr>
              <w:t>（3）比选申请人近3年（自2020年1月1日以来，以合同签订时间为准）内完成过2个高速公路安全生产相关咨询服务项目。</w:t>
            </w:r>
          </w:p>
          <w:p>
            <w:pPr>
              <w:pStyle w:val="15"/>
              <w:adjustRightInd w:val="0"/>
              <w:spacing w:before="50" w:after="50" w:line="360" w:lineRule="auto"/>
              <w:rPr>
                <w:rFonts w:ascii="Times New Roman" w:hAnsi="宋体"/>
              </w:rPr>
            </w:pPr>
            <w:r>
              <w:rPr>
                <w:rFonts w:hint="eastAsia" w:ascii="Times New Roman" w:hAnsi="宋体"/>
              </w:rPr>
              <w:t>（4）项目负责人、技术负责人具有安全类中级及以上职称。</w:t>
            </w:r>
          </w:p>
          <w:p>
            <w:pPr>
              <w:pStyle w:val="15"/>
              <w:adjustRightInd w:val="0"/>
              <w:spacing w:before="50" w:after="50" w:line="360" w:lineRule="auto"/>
              <w:rPr>
                <w:rFonts w:ascii="Times New Roman" w:hAnsi="宋体"/>
              </w:rPr>
            </w:pPr>
            <w:r>
              <w:rPr>
                <w:rFonts w:hint="eastAsia" w:ascii="Times New Roman" w:hAnsi="宋体"/>
              </w:rPr>
              <w:t>（5）近三年（2020年1月1日起至本项目比选申请截止日期间）比选申请人（单位）、法定代表人没有被人民法院生效判决或裁定认定为行贿犯罪（比选申请人须提交无行贿犯罪的承诺函）。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noWrap/>
            <w:vAlign w:val="center"/>
          </w:tcPr>
          <w:p>
            <w:pPr>
              <w:pStyle w:val="15"/>
              <w:adjustRightInd w:val="0"/>
              <w:snapToGrid w:val="0"/>
              <w:spacing w:line="480" w:lineRule="exact"/>
              <w:jc w:val="center"/>
              <w:rPr>
                <w:rFonts w:hAnsi="宋体"/>
              </w:rPr>
            </w:pPr>
            <w:r>
              <w:rPr>
                <w:rFonts w:hint="eastAsia" w:hAnsi="宋体"/>
              </w:rPr>
              <w:t>7</w:t>
            </w:r>
          </w:p>
        </w:tc>
        <w:tc>
          <w:tcPr>
            <w:tcW w:w="1796" w:type="dxa"/>
            <w:noWrap/>
            <w:vAlign w:val="center"/>
          </w:tcPr>
          <w:p>
            <w:pPr>
              <w:pStyle w:val="15"/>
              <w:adjustRightInd w:val="0"/>
              <w:snapToGrid w:val="0"/>
              <w:spacing w:line="480" w:lineRule="exact"/>
              <w:ind w:left="-105" w:leftChars="-50" w:right="-105" w:rightChars="-50"/>
              <w:jc w:val="center"/>
              <w:rPr>
                <w:rFonts w:hAnsi="宋体"/>
              </w:rPr>
            </w:pPr>
            <w:r>
              <w:rPr>
                <w:rFonts w:hint="eastAsia" w:hAnsi="宋体"/>
              </w:rPr>
              <w:t>是否接受</w:t>
            </w:r>
          </w:p>
          <w:p>
            <w:pPr>
              <w:pStyle w:val="15"/>
              <w:adjustRightInd w:val="0"/>
              <w:snapToGrid w:val="0"/>
              <w:spacing w:line="480" w:lineRule="exact"/>
              <w:ind w:left="-105" w:leftChars="-50" w:right="-105" w:rightChars="-50"/>
              <w:jc w:val="center"/>
              <w:rPr>
                <w:rFonts w:hAnsi="宋体"/>
              </w:rPr>
            </w:pPr>
            <w:r>
              <w:rPr>
                <w:rFonts w:hint="eastAsia" w:hAnsi="宋体"/>
              </w:rPr>
              <w:t>联合体比选申请</w:t>
            </w:r>
          </w:p>
        </w:tc>
        <w:tc>
          <w:tcPr>
            <w:tcW w:w="6709" w:type="dxa"/>
            <w:noWrap/>
            <w:vAlign w:val="center"/>
          </w:tcPr>
          <w:p>
            <w:pPr>
              <w:pStyle w:val="15"/>
              <w:spacing w:line="480" w:lineRule="exact"/>
              <w:rPr>
                <w:rFonts w:hAnsi="宋体"/>
              </w:rPr>
            </w:pPr>
            <w:r>
              <w:rPr>
                <w:rFonts w:hint="eastAsia" w:hAnsi="宋体"/>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851" w:type="dxa"/>
            <w:noWrap/>
            <w:vAlign w:val="center"/>
          </w:tcPr>
          <w:p>
            <w:pPr>
              <w:pStyle w:val="15"/>
              <w:spacing w:line="480" w:lineRule="exact"/>
              <w:jc w:val="center"/>
              <w:rPr>
                <w:rFonts w:hAnsi="宋体"/>
              </w:rPr>
            </w:pPr>
            <w:r>
              <w:rPr>
                <w:rFonts w:hint="eastAsia" w:hAnsi="宋体"/>
              </w:rPr>
              <w:t>8</w:t>
            </w:r>
          </w:p>
        </w:tc>
        <w:tc>
          <w:tcPr>
            <w:tcW w:w="1796" w:type="dxa"/>
            <w:noWrap/>
            <w:vAlign w:val="center"/>
          </w:tcPr>
          <w:p>
            <w:pPr>
              <w:pStyle w:val="15"/>
              <w:spacing w:line="480" w:lineRule="exact"/>
              <w:jc w:val="center"/>
              <w:rPr>
                <w:rFonts w:hAnsi="宋体"/>
              </w:rPr>
            </w:pPr>
            <w:r>
              <w:rPr>
                <w:rFonts w:hint="eastAsia" w:hAnsi="宋体"/>
              </w:rPr>
              <w:t>比选申请预备会</w:t>
            </w:r>
          </w:p>
        </w:tc>
        <w:tc>
          <w:tcPr>
            <w:tcW w:w="6709" w:type="dxa"/>
            <w:noWrap/>
            <w:vAlign w:val="center"/>
          </w:tcPr>
          <w:p>
            <w:pPr>
              <w:spacing w:line="480" w:lineRule="exact"/>
              <w:rPr>
                <w:rFonts w:hAnsi="宋体"/>
                <w:szCs w:val="21"/>
              </w:rPr>
            </w:pPr>
            <w:r>
              <w:rPr>
                <w:rFonts w:hint="eastAsia" w:ascii="宋体" w:hAnsi="宋体"/>
                <w:szCs w:val="21"/>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1" w:type="dxa"/>
            <w:noWrap/>
            <w:vAlign w:val="center"/>
          </w:tcPr>
          <w:p>
            <w:pPr>
              <w:pStyle w:val="15"/>
              <w:adjustRightInd w:val="0"/>
              <w:snapToGrid w:val="0"/>
              <w:spacing w:line="480" w:lineRule="exact"/>
              <w:jc w:val="center"/>
              <w:rPr>
                <w:rFonts w:hAnsi="宋体"/>
              </w:rPr>
            </w:pPr>
            <w:r>
              <w:rPr>
                <w:rFonts w:hint="eastAsia" w:hAnsi="宋体"/>
              </w:rPr>
              <w:t>9</w:t>
            </w:r>
          </w:p>
        </w:tc>
        <w:tc>
          <w:tcPr>
            <w:tcW w:w="1796" w:type="dxa"/>
            <w:noWrap/>
            <w:vAlign w:val="center"/>
          </w:tcPr>
          <w:p>
            <w:pPr>
              <w:pStyle w:val="15"/>
              <w:adjustRightInd w:val="0"/>
              <w:snapToGrid w:val="0"/>
              <w:spacing w:line="480" w:lineRule="exact"/>
              <w:jc w:val="center"/>
              <w:rPr>
                <w:rFonts w:hAnsi="宋体"/>
              </w:rPr>
            </w:pPr>
            <w:r>
              <w:rPr>
                <w:rFonts w:hint="eastAsia" w:hAnsi="宋体"/>
              </w:rPr>
              <w:t>分包</w:t>
            </w:r>
          </w:p>
        </w:tc>
        <w:tc>
          <w:tcPr>
            <w:tcW w:w="6709" w:type="dxa"/>
            <w:noWrap/>
            <w:vAlign w:val="center"/>
          </w:tcPr>
          <w:p>
            <w:pPr>
              <w:spacing w:line="480" w:lineRule="exact"/>
              <w:rPr>
                <w:rFonts w:ascii="宋体" w:hAnsi="宋体"/>
                <w:szCs w:val="21"/>
              </w:rPr>
            </w:pPr>
            <w:r>
              <w:rPr>
                <w:rFonts w:hint="eastAsia" w:ascii="宋体" w:hAnsi="宋体"/>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1" w:type="dxa"/>
            <w:noWrap/>
            <w:vAlign w:val="center"/>
          </w:tcPr>
          <w:p>
            <w:pPr>
              <w:jc w:val="center"/>
              <w:rPr>
                <w:rFonts w:hAnsi="宋体"/>
              </w:rPr>
            </w:pPr>
            <w:r>
              <w:rPr>
                <w:rFonts w:hint="eastAsia" w:ascii="宋体" w:hAnsi="宋体" w:cs="宋体"/>
                <w:color w:val="000000" w:themeColor="text1"/>
                <w:szCs w:val="21"/>
                <w14:textFill>
                  <w14:solidFill>
                    <w14:schemeClr w14:val="tx1"/>
                  </w14:solidFill>
                </w14:textFill>
              </w:rPr>
              <w:t>10</w:t>
            </w:r>
          </w:p>
        </w:tc>
        <w:tc>
          <w:tcPr>
            <w:tcW w:w="1796" w:type="dxa"/>
            <w:noWrap/>
            <w:vAlign w:val="center"/>
          </w:tcPr>
          <w:p>
            <w:pPr>
              <w:jc w:val="center"/>
              <w:rPr>
                <w:rFonts w:hAnsi="宋体"/>
              </w:rPr>
            </w:pPr>
            <w:r>
              <w:rPr>
                <w:rFonts w:hint="eastAsia" w:ascii="宋体" w:hAnsi="宋体" w:cs="宋体"/>
                <w:color w:val="000000" w:themeColor="text1"/>
                <w:szCs w:val="21"/>
                <w14:textFill>
                  <w14:solidFill>
                    <w14:schemeClr w14:val="tx1"/>
                  </w14:solidFill>
                </w14:textFill>
              </w:rPr>
              <w:t>比选有效期</w:t>
            </w:r>
          </w:p>
        </w:tc>
        <w:tc>
          <w:tcPr>
            <w:tcW w:w="6709" w:type="dxa"/>
            <w:noWrap/>
            <w:vAlign w:val="center"/>
          </w:tcPr>
          <w:p>
            <w:pPr>
              <w:rPr>
                <w:rFonts w:hAnsi="宋体"/>
                <w:szCs w:val="21"/>
              </w:rPr>
            </w:pPr>
            <w:r>
              <w:rPr>
                <w:rFonts w:hint="eastAsia"/>
                <w:color w:val="000000" w:themeColor="text1"/>
                <w:kern w:val="0"/>
                <w:szCs w:val="21"/>
                <w14:textFill>
                  <w14:solidFill>
                    <w14:schemeClr w14:val="tx1"/>
                  </w14:solidFill>
                </w14:textFill>
              </w:rPr>
              <w:t>自递交比选申请文件截止之日起计算</w:t>
            </w:r>
            <w:r>
              <w:rPr>
                <w:rFonts w:hint="eastAsia"/>
                <w:color w:val="000000" w:themeColor="text1"/>
                <w:kern w:val="0"/>
                <w:szCs w:val="21"/>
                <w:u w:val="single"/>
                <w14:textFill>
                  <w14:solidFill>
                    <w14:schemeClr w14:val="tx1"/>
                  </w14:solidFill>
                </w14:textFill>
              </w:rPr>
              <w:t>60</w:t>
            </w:r>
            <w:r>
              <w:rPr>
                <w:rFonts w:hint="eastAsia"/>
                <w:color w:val="000000" w:themeColor="text1"/>
                <w:kern w:val="0"/>
                <w:szCs w:val="21"/>
                <w14:textFill>
                  <w14:solidFill>
                    <w14:schemeClr w14:val="tx1"/>
                  </w14:solidFill>
                </w14:textFill>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1" w:type="dxa"/>
            <w:noWrap/>
            <w:vAlign w:val="center"/>
          </w:tcPr>
          <w:p>
            <w:pPr>
              <w:jc w:val="center"/>
              <w:rPr>
                <w:rFonts w:ascii="宋体" w:hAnsi="宋体" w:cs="宋体"/>
                <w:color w:val="000000"/>
                <w:szCs w:val="21"/>
              </w:rPr>
            </w:pPr>
            <w:r>
              <w:rPr>
                <w:rFonts w:hint="eastAsia" w:ascii="宋体" w:hAnsi="宋体" w:cs="宋体"/>
                <w:color w:val="000000"/>
                <w:szCs w:val="21"/>
              </w:rPr>
              <w:t>11</w:t>
            </w:r>
          </w:p>
        </w:tc>
        <w:tc>
          <w:tcPr>
            <w:tcW w:w="1796" w:type="dxa"/>
            <w:noWrap/>
            <w:vAlign w:val="center"/>
          </w:tcPr>
          <w:p>
            <w:pPr>
              <w:jc w:val="center"/>
              <w:rPr>
                <w:rFonts w:ascii="宋体" w:hAnsi="宋体" w:cs="宋体"/>
                <w:color w:val="000000"/>
                <w:szCs w:val="21"/>
              </w:rPr>
            </w:pPr>
            <w:r>
              <w:rPr>
                <w:rFonts w:hint="eastAsia" w:ascii="宋体" w:hAnsi="宋体" w:cs="宋体"/>
                <w:color w:val="000000"/>
                <w:szCs w:val="21"/>
              </w:rPr>
              <w:t>申请提出问题的截止时间</w:t>
            </w:r>
          </w:p>
        </w:tc>
        <w:tc>
          <w:tcPr>
            <w:tcW w:w="6709" w:type="dxa"/>
            <w:noWrap/>
            <w:vAlign w:val="center"/>
          </w:tcPr>
          <w:p>
            <w:pPr>
              <w:widowControl/>
              <w:adjustRightInd w:val="0"/>
              <w:jc w:val="left"/>
              <w:rPr>
                <w:rFonts w:ascii="宋体" w:hAnsi="宋体" w:cs="宋体"/>
                <w:color w:val="000000"/>
                <w:szCs w:val="21"/>
              </w:rPr>
            </w:pPr>
            <w:r>
              <w:rPr>
                <w:rFonts w:hint="eastAsia"/>
              </w:rPr>
              <w:t>比选申请</w:t>
            </w:r>
            <w:r>
              <w:t>人</w:t>
            </w:r>
            <w:r>
              <w:rPr>
                <w:rFonts w:hint="eastAsia"/>
              </w:rPr>
              <w:t>对比选文件有疑问的应</w:t>
            </w:r>
            <w:r>
              <w:t>在</w:t>
            </w:r>
            <w:r>
              <w:rPr>
                <w:rFonts w:hint="eastAsia"/>
              </w:rPr>
              <w:t>比选申请</w:t>
            </w:r>
            <w:r>
              <w:t>文件</w:t>
            </w:r>
            <w:r>
              <w:rPr>
                <w:rFonts w:hint="eastAsia"/>
              </w:rPr>
              <w:t>送交</w:t>
            </w:r>
            <w:r>
              <w:t>截止</w:t>
            </w:r>
            <w:r>
              <w:rPr>
                <w:rFonts w:hint="eastAsia"/>
              </w:rPr>
              <w:t>期3日</w:t>
            </w:r>
            <w:r>
              <w:t>前，以书面形式</w:t>
            </w:r>
            <w:r>
              <w:rPr>
                <w:rFonts w:hint="eastAsia"/>
              </w:rPr>
              <w:t>提出，逾期不予受理。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51" w:type="dxa"/>
            <w:noWrap/>
            <w:vAlign w:val="center"/>
          </w:tcPr>
          <w:p>
            <w:pPr>
              <w:jc w:val="center"/>
              <w:rPr>
                <w:rFonts w:ascii="宋体" w:hAnsi="宋体" w:cs="宋体"/>
                <w:color w:val="000000"/>
                <w:szCs w:val="21"/>
              </w:rPr>
            </w:pPr>
            <w:r>
              <w:rPr>
                <w:rFonts w:hint="eastAsia" w:ascii="宋体" w:hAnsi="宋体" w:cs="宋体"/>
                <w:color w:val="000000"/>
                <w:szCs w:val="21"/>
              </w:rPr>
              <w:t>12</w:t>
            </w:r>
          </w:p>
        </w:tc>
        <w:tc>
          <w:tcPr>
            <w:tcW w:w="1796" w:type="dxa"/>
            <w:noWrap/>
            <w:vAlign w:val="center"/>
          </w:tcPr>
          <w:p>
            <w:pPr>
              <w:jc w:val="center"/>
              <w:rPr>
                <w:rFonts w:ascii="宋体" w:hAnsi="宋体" w:cs="宋体"/>
                <w:color w:val="000000"/>
                <w:szCs w:val="21"/>
              </w:rPr>
            </w:pPr>
            <w:r>
              <w:rPr>
                <w:rFonts w:hint="eastAsia" w:ascii="宋体" w:hAnsi="宋体" w:cs="宋体"/>
                <w:color w:val="000000"/>
                <w:szCs w:val="21"/>
              </w:rPr>
              <w:t>比选人书面澄清的时间</w:t>
            </w:r>
          </w:p>
        </w:tc>
        <w:tc>
          <w:tcPr>
            <w:tcW w:w="6709" w:type="dxa"/>
            <w:noWrap/>
            <w:vAlign w:val="center"/>
          </w:tcPr>
          <w:p>
            <w:pPr>
              <w:ind w:left="17" w:right="-4" w:rightChars="-2"/>
              <w:rPr>
                <w:rFonts w:ascii="宋体" w:hAnsi="宋体" w:cs="宋体"/>
                <w:color w:val="000000"/>
                <w:szCs w:val="21"/>
              </w:rPr>
            </w:pPr>
            <w:r>
              <w:rPr>
                <w:rFonts w:hint="eastAsia" w:ascii="宋体" w:hAnsi="宋体" w:cs="宋体"/>
                <w:color w:val="000000"/>
                <w:szCs w:val="21"/>
              </w:rPr>
              <w:t>比选人针对比选申请人提出的疑问，在比选申请文件送交截止期2日前在</w:t>
            </w:r>
            <w:r>
              <w:rPr>
                <w:szCs w:val="21"/>
              </w:rPr>
              <w:t>指定网站</w:t>
            </w:r>
            <w:r>
              <w:rPr>
                <w:rFonts w:hint="eastAsia"/>
                <w:szCs w:val="21"/>
              </w:rPr>
              <w:t>（</w:t>
            </w:r>
            <w:r>
              <w:rPr>
                <w:kern w:val="0"/>
                <w:szCs w:val="21"/>
              </w:rPr>
              <w:t>http://www.sccygs.com</w:t>
            </w:r>
            <w:r>
              <w:rPr>
                <w:rFonts w:hint="eastAsia"/>
                <w:szCs w:val="21"/>
              </w:rPr>
              <w:t>）发布</w:t>
            </w:r>
            <w:r>
              <w:rPr>
                <w:rFonts w:hint="eastAsia" w:ascii="宋体" w:hAnsi="宋体" w:cs="宋体"/>
                <w:color w:val="000000"/>
                <w:szCs w:val="21"/>
              </w:rPr>
              <w:t>，</w:t>
            </w:r>
            <w:r>
              <w:t>由</w:t>
            </w:r>
            <w:r>
              <w:rPr>
                <w:rFonts w:hint="eastAsia"/>
                <w:kern w:val="0"/>
                <w:szCs w:val="21"/>
              </w:rPr>
              <w:t>比选申请</w:t>
            </w:r>
            <w:r>
              <w:rPr>
                <w:kern w:val="0"/>
                <w:szCs w:val="21"/>
              </w:rPr>
              <w:t>人自行查阅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1" w:type="dxa"/>
            <w:noWrap/>
            <w:vAlign w:val="center"/>
          </w:tcPr>
          <w:p>
            <w:pPr>
              <w:jc w:val="center"/>
              <w:rPr>
                <w:rFonts w:hAnsi="宋体"/>
              </w:rPr>
            </w:pPr>
            <w:r>
              <w:rPr>
                <w:rFonts w:hint="eastAsia" w:ascii="宋体" w:hAnsi="宋体" w:cs="宋体"/>
                <w:szCs w:val="21"/>
              </w:rPr>
              <w:t>13</w:t>
            </w:r>
          </w:p>
        </w:tc>
        <w:tc>
          <w:tcPr>
            <w:tcW w:w="1796" w:type="dxa"/>
            <w:noWrap/>
            <w:vAlign w:val="center"/>
          </w:tcPr>
          <w:p>
            <w:pPr>
              <w:jc w:val="center"/>
              <w:rPr>
                <w:rFonts w:hAnsi="宋体"/>
              </w:rPr>
            </w:pPr>
            <w:r>
              <w:rPr>
                <w:rFonts w:hint="eastAsia" w:ascii="宋体" w:hAnsi="宋体" w:cs="宋体"/>
                <w:szCs w:val="21"/>
              </w:rPr>
              <w:t>近年完成的类似项目的年份要求</w:t>
            </w:r>
          </w:p>
        </w:tc>
        <w:tc>
          <w:tcPr>
            <w:tcW w:w="6709" w:type="dxa"/>
            <w:noWrap/>
            <w:vAlign w:val="center"/>
          </w:tcPr>
          <w:p>
            <w:pPr>
              <w:rPr>
                <w:rFonts w:hAnsi="宋体"/>
                <w:szCs w:val="21"/>
              </w:rPr>
            </w:pPr>
            <w:r>
              <w:rPr>
                <w:rFonts w:hint="eastAsia" w:ascii="宋体" w:hAnsi="宋体" w:cs="宋体"/>
                <w:szCs w:val="21"/>
              </w:rPr>
              <w:t>比选申请人2020年1月1日至比选申请截止日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51" w:type="dxa"/>
            <w:noWrap/>
            <w:vAlign w:val="center"/>
          </w:tcPr>
          <w:p>
            <w:pPr>
              <w:jc w:val="center"/>
              <w:rPr>
                <w:rFonts w:hAnsi="宋体"/>
              </w:rPr>
            </w:pPr>
            <w:r>
              <w:rPr>
                <w:rFonts w:hint="eastAsia" w:ascii="宋体" w:hAnsi="宋体" w:cs="宋体"/>
                <w:szCs w:val="21"/>
              </w:rPr>
              <w:t>14</w:t>
            </w:r>
          </w:p>
        </w:tc>
        <w:tc>
          <w:tcPr>
            <w:tcW w:w="1796" w:type="dxa"/>
            <w:noWrap/>
            <w:vAlign w:val="center"/>
          </w:tcPr>
          <w:p>
            <w:pPr>
              <w:jc w:val="center"/>
              <w:rPr>
                <w:rFonts w:hAnsi="宋体"/>
              </w:rPr>
            </w:pPr>
            <w:r>
              <w:rPr>
                <w:rFonts w:hint="eastAsia" w:ascii="宋体" w:hAnsi="宋体" w:cs="宋体"/>
                <w:szCs w:val="21"/>
              </w:rPr>
              <w:t>构成比选文件的其他材料</w:t>
            </w:r>
          </w:p>
        </w:tc>
        <w:tc>
          <w:tcPr>
            <w:tcW w:w="6709" w:type="dxa"/>
            <w:noWrap/>
            <w:vAlign w:val="center"/>
          </w:tcPr>
          <w:p>
            <w:pPr>
              <w:rPr>
                <w:rFonts w:ascii="宋体" w:hAnsi="宋体"/>
                <w:szCs w:val="21"/>
              </w:rPr>
            </w:pPr>
            <w:r>
              <w:rPr>
                <w:rFonts w:hint="eastAsia" w:ascii="宋体" w:hAnsi="宋体" w:cs="宋体"/>
                <w:szCs w:val="21"/>
              </w:rPr>
              <w:t>补遗书、澄清等（如有）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51" w:type="dxa"/>
            <w:noWrap/>
            <w:vAlign w:val="center"/>
          </w:tcPr>
          <w:p>
            <w:pPr>
              <w:pStyle w:val="15"/>
              <w:spacing w:line="480" w:lineRule="exact"/>
              <w:jc w:val="center"/>
              <w:rPr>
                <w:rFonts w:hAnsi="宋体" w:cs="宋体"/>
              </w:rPr>
            </w:pPr>
            <w:r>
              <w:rPr>
                <w:rFonts w:hint="eastAsia" w:hAnsi="宋体" w:cs="宋体"/>
              </w:rPr>
              <w:t>15</w:t>
            </w:r>
          </w:p>
        </w:tc>
        <w:tc>
          <w:tcPr>
            <w:tcW w:w="1796" w:type="dxa"/>
            <w:noWrap/>
            <w:vAlign w:val="center"/>
          </w:tcPr>
          <w:p>
            <w:pPr>
              <w:pStyle w:val="15"/>
              <w:spacing w:line="480" w:lineRule="exact"/>
              <w:jc w:val="center"/>
              <w:rPr>
                <w:rFonts w:hAnsi="宋体" w:cs="宋体"/>
              </w:rPr>
            </w:pPr>
            <w:r>
              <w:rPr>
                <w:rFonts w:hint="eastAsia" w:hAnsi="宋体" w:cs="宋体"/>
              </w:rPr>
              <w:t>比选申请文件的组成</w:t>
            </w:r>
          </w:p>
        </w:tc>
        <w:tc>
          <w:tcPr>
            <w:tcW w:w="6709" w:type="dxa"/>
            <w:noWrap/>
            <w:vAlign w:val="center"/>
          </w:tcPr>
          <w:p>
            <w:pPr>
              <w:jc w:val="left"/>
            </w:pPr>
            <w:r>
              <w:rPr>
                <w:rFonts w:hint="eastAsia"/>
              </w:rPr>
              <w:t>比选申请文件应包括下列内容：</w:t>
            </w:r>
          </w:p>
          <w:p>
            <w:pPr>
              <w:spacing w:line="600" w:lineRule="exact"/>
              <w:jc w:val="left"/>
            </w:pPr>
            <w:bookmarkStart w:id="21" w:name="_Toc28464"/>
            <w:r>
              <w:rPr>
                <w:rFonts w:hint="eastAsia"/>
              </w:rPr>
              <w:t>第一信封</w:t>
            </w:r>
            <w:bookmarkEnd w:id="21"/>
          </w:p>
          <w:p>
            <w:pPr>
              <w:numPr>
                <w:ilvl w:val="0"/>
                <w:numId w:val="1"/>
              </w:numPr>
              <w:spacing w:line="600" w:lineRule="exact"/>
              <w:jc w:val="left"/>
            </w:pPr>
            <w:r>
              <w:rPr>
                <w:rFonts w:hint="eastAsia"/>
              </w:rPr>
              <w:t>比选申请函</w:t>
            </w:r>
          </w:p>
          <w:p>
            <w:pPr>
              <w:numPr>
                <w:ilvl w:val="0"/>
                <w:numId w:val="1"/>
              </w:numPr>
              <w:spacing w:line="600" w:lineRule="exact"/>
              <w:jc w:val="left"/>
            </w:pPr>
            <w:r>
              <w:rPr>
                <w:rFonts w:hint="eastAsia"/>
              </w:rPr>
              <w:t>比选申请人基本情况</w:t>
            </w:r>
          </w:p>
          <w:p>
            <w:pPr>
              <w:spacing w:line="600" w:lineRule="exact"/>
              <w:jc w:val="left"/>
            </w:pPr>
            <w:r>
              <w:rPr>
                <w:rFonts w:hint="eastAsia"/>
              </w:rPr>
              <w:t>（3）法定代表人身份证明或授权委托书</w:t>
            </w:r>
          </w:p>
          <w:p>
            <w:pPr>
              <w:spacing w:line="600" w:lineRule="exact"/>
              <w:jc w:val="left"/>
            </w:pPr>
            <w:r>
              <w:rPr>
                <w:rFonts w:hint="eastAsia"/>
              </w:rPr>
              <w:t>（4）服务承诺书</w:t>
            </w:r>
          </w:p>
          <w:p>
            <w:pPr>
              <w:spacing w:line="600" w:lineRule="exact"/>
              <w:jc w:val="left"/>
            </w:pPr>
            <w:r>
              <w:rPr>
                <w:rFonts w:hint="eastAsia"/>
              </w:rPr>
              <w:t>（5）信誉相关资料</w:t>
            </w:r>
          </w:p>
          <w:p>
            <w:pPr>
              <w:spacing w:line="600" w:lineRule="exact"/>
              <w:jc w:val="left"/>
            </w:pPr>
            <w:r>
              <w:rPr>
                <w:rFonts w:hint="eastAsia"/>
              </w:rPr>
              <w:t>（6）项目组人员配置及要求</w:t>
            </w:r>
          </w:p>
          <w:p>
            <w:pPr>
              <w:spacing w:line="600" w:lineRule="exact"/>
              <w:jc w:val="left"/>
            </w:pPr>
            <w:r>
              <w:rPr>
                <w:rFonts w:hint="eastAsia"/>
              </w:rPr>
              <w:t>（7）咨询服务方案</w:t>
            </w:r>
          </w:p>
          <w:p>
            <w:pPr>
              <w:spacing w:line="600" w:lineRule="exact"/>
              <w:jc w:val="left"/>
            </w:pPr>
            <w:r>
              <w:rPr>
                <w:rFonts w:hint="eastAsia"/>
              </w:rPr>
              <w:t>（8）比选申请人提供的其他材料</w:t>
            </w:r>
          </w:p>
          <w:p>
            <w:pPr>
              <w:autoSpaceDE w:val="0"/>
              <w:autoSpaceDN w:val="0"/>
              <w:adjustRightInd w:val="0"/>
              <w:jc w:val="left"/>
            </w:pPr>
            <w:r>
              <w:rPr>
                <w:rFonts w:hint="eastAsia" w:ascii="宋体" w:hAnsi="宋体"/>
                <w:szCs w:val="21"/>
              </w:rPr>
              <w:t>第二信封（报价文件）</w:t>
            </w:r>
          </w:p>
          <w:p>
            <w:pPr>
              <w:pStyle w:val="12"/>
              <w:numPr>
                <w:ilvl w:val="0"/>
                <w:numId w:val="2"/>
              </w:numPr>
            </w:pPr>
            <w:r>
              <w:rPr>
                <w:rFonts w:hint="eastAsia"/>
              </w:rPr>
              <w:t>报价函</w:t>
            </w:r>
          </w:p>
          <w:p>
            <w:pPr>
              <w:pStyle w:val="12"/>
              <w:numPr>
                <w:ilvl w:val="0"/>
                <w:numId w:val="2"/>
              </w:numPr>
            </w:pPr>
            <w:r>
              <w:rPr>
                <w:rFonts w:hint="eastAsia"/>
              </w:rPr>
              <w:t>报价清单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851" w:type="dxa"/>
            <w:noWrap/>
            <w:vAlign w:val="center"/>
          </w:tcPr>
          <w:p>
            <w:pPr>
              <w:adjustRightInd w:val="0"/>
              <w:snapToGrid w:val="0"/>
              <w:spacing w:line="480" w:lineRule="exact"/>
              <w:jc w:val="center"/>
              <w:rPr>
                <w:rFonts w:ascii="宋体" w:hAnsi="宋体"/>
                <w:szCs w:val="21"/>
              </w:rPr>
            </w:pPr>
            <w:r>
              <w:rPr>
                <w:rFonts w:hint="eastAsia" w:ascii="宋体" w:hAnsi="宋体"/>
                <w:szCs w:val="21"/>
              </w:rPr>
              <w:t>16</w:t>
            </w:r>
          </w:p>
        </w:tc>
        <w:tc>
          <w:tcPr>
            <w:tcW w:w="1796" w:type="dxa"/>
            <w:noWrap/>
            <w:vAlign w:val="center"/>
          </w:tcPr>
          <w:p>
            <w:pPr>
              <w:adjustRightInd w:val="0"/>
              <w:snapToGrid w:val="0"/>
              <w:spacing w:line="480" w:lineRule="exact"/>
              <w:jc w:val="center"/>
              <w:rPr>
                <w:rFonts w:ascii="宋体" w:hAnsi="宋体"/>
                <w:szCs w:val="21"/>
              </w:rPr>
            </w:pPr>
            <w:r>
              <w:rPr>
                <w:rFonts w:hint="eastAsia" w:ascii="宋体" w:hAnsi="宋体"/>
                <w:szCs w:val="21"/>
              </w:rPr>
              <w:t>清单的填写方式</w:t>
            </w:r>
          </w:p>
        </w:tc>
        <w:tc>
          <w:tcPr>
            <w:tcW w:w="6709" w:type="dxa"/>
            <w:noWrap/>
            <w:vAlign w:val="center"/>
          </w:tcPr>
          <w:p>
            <w:pPr>
              <w:spacing w:line="480" w:lineRule="exact"/>
              <w:rPr>
                <w:rFonts w:ascii="宋体" w:hAnsi="宋体"/>
                <w:szCs w:val="21"/>
              </w:rPr>
            </w:pPr>
            <w:r>
              <w:rPr>
                <w:rFonts w:hint="eastAsia"/>
                <w:szCs w:val="21"/>
              </w:rPr>
              <w:t>比选申请人按照比选人提供的服务报价清单填写。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51" w:type="dxa"/>
            <w:noWrap/>
            <w:vAlign w:val="center"/>
          </w:tcPr>
          <w:p>
            <w:pPr>
              <w:pStyle w:val="15"/>
              <w:adjustRightInd w:val="0"/>
              <w:snapToGrid w:val="0"/>
              <w:spacing w:line="480" w:lineRule="exact"/>
              <w:jc w:val="center"/>
              <w:rPr>
                <w:rFonts w:hAnsi="宋体"/>
              </w:rPr>
            </w:pPr>
            <w:r>
              <w:rPr>
                <w:rFonts w:hint="eastAsia" w:hAnsi="宋体"/>
              </w:rPr>
              <w:t>17</w:t>
            </w:r>
          </w:p>
        </w:tc>
        <w:tc>
          <w:tcPr>
            <w:tcW w:w="1796" w:type="dxa"/>
            <w:noWrap/>
            <w:vAlign w:val="center"/>
          </w:tcPr>
          <w:p>
            <w:pPr>
              <w:pStyle w:val="15"/>
              <w:adjustRightInd w:val="0"/>
              <w:snapToGrid w:val="0"/>
              <w:spacing w:line="480" w:lineRule="exact"/>
              <w:jc w:val="center"/>
              <w:rPr>
                <w:rFonts w:hAnsi="宋体"/>
              </w:rPr>
            </w:pPr>
            <w:r>
              <w:rPr>
                <w:rFonts w:hint="eastAsia" w:hAnsi="宋体"/>
              </w:rPr>
              <w:t>最高比选申请  限价</w:t>
            </w:r>
          </w:p>
        </w:tc>
        <w:tc>
          <w:tcPr>
            <w:tcW w:w="6709" w:type="dxa"/>
            <w:noWrap/>
            <w:vAlign w:val="center"/>
          </w:tcPr>
          <w:p>
            <w:pPr>
              <w:pStyle w:val="15"/>
              <w:spacing w:line="480" w:lineRule="exac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本项目最高投标限价：</w:t>
            </w:r>
          </w:p>
          <w:p>
            <w:pPr>
              <w:pStyle w:val="15"/>
              <w:numPr>
                <w:ilvl w:val="0"/>
                <w:numId w:val="3"/>
              </w:numPr>
              <w:spacing w:line="480" w:lineRule="exac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总限价：人民币</w:t>
            </w:r>
            <w:r>
              <w:rPr>
                <w:rFonts w:hint="eastAsia" w:ascii="Times New Roman" w:hAnsi="Times New Roman" w:cs="Times New Roman"/>
                <w:color w:val="000000" w:themeColor="text1"/>
                <w:u w:val="single"/>
                <w14:textFill>
                  <w14:solidFill>
                    <w14:schemeClr w14:val="tx1"/>
                  </w14:solidFill>
                </w14:textFill>
              </w:rPr>
              <w:t>49</w:t>
            </w:r>
            <w:r>
              <w:rPr>
                <w:rFonts w:hint="eastAsia" w:ascii="Times New Roman" w:hAnsi="Times New Roman" w:cs="Times New Roman"/>
                <w:color w:val="000000" w:themeColor="text1"/>
                <w14:textFill>
                  <w14:solidFill>
                    <w14:schemeClr w14:val="tx1"/>
                  </w14:solidFill>
                </w14:textFill>
              </w:rPr>
              <w:t>万元。</w:t>
            </w:r>
          </w:p>
          <w:p>
            <w:pPr>
              <w:pStyle w:val="15"/>
              <w:numPr>
                <w:ilvl w:val="0"/>
                <w:numId w:val="3"/>
              </w:numPr>
              <w:spacing w:line="480" w:lineRule="exact"/>
              <w:rPr>
                <w:rFonts w:hAnsi="宋体" w:cs="宋体"/>
                <w:b/>
                <w:bCs/>
                <w:color w:val="FF0000"/>
              </w:rPr>
            </w:pPr>
            <w:r>
              <w:rPr>
                <w:rFonts w:hint="eastAsia" w:ascii="Times New Roman" w:hAnsi="Times New Roman" w:cs="Times New Roman"/>
                <w:color w:val="000000" w:themeColor="text1"/>
                <w14:textFill>
                  <w14:solidFill>
                    <w14:schemeClr w14:val="tx1"/>
                  </w14:solidFill>
                </w14:textFill>
              </w:rPr>
              <w:t>单项限价：</w:t>
            </w:r>
          </w:p>
          <w:p>
            <w:pPr>
              <w:pStyle w:val="15"/>
              <w:numPr>
                <w:ilvl w:val="255"/>
                <w:numId w:val="0"/>
              </w:numPr>
              <w:spacing w:line="480" w:lineRule="exac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安全生产年度标准化年度评价（2年）80000元；</w:t>
            </w:r>
          </w:p>
          <w:p>
            <w:pPr>
              <w:pStyle w:val="15"/>
              <w:numPr>
                <w:ilvl w:val="255"/>
                <w:numId w:val="0"/>
              </w:numPr>
              <w:spacing w:line="480" w:lineRule="exac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安全生产标准化周期复评（1年）80000元；</w:t>
            </w:r>
          </w:p>
          <w:p>
            <w:pPr>
              <w:pStyle w:val="15"/>
              <w:numPr>
                <w:ilvl w:val="255"/>
                <w:numId w:val="0"/>
              </w:numPr>
              <w:spacing w:line="480" w:lineRule="exac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双重预防机制持续改进（3年）240000元；</w:t>
            </w:r>
          </w:p>
          <w:p>
            <w:pPr>
              <w:pStyle w:val="15"/>
              <w:numPr>
                <w:ilvl w:val="255"/>
                <w:numId w:val="0"/>
              </w:numPr>
              <w:spacing w:line="480" w:lineRule="exact"/>
              <w:rPr>
                <w:rFonts w:ascii="Times New Roman" w:hAnsi="Times New Roman" w:cs="Times New Roman"/>
                <w:color w:val="000000" w:themeColor="text1"/>
                <w14:textFill>
                  <w14:solidFill>
                    <w14:schemeClr w14:val="tx1"/>
                  </w14:solidFill>
                </w14:textFill>
              </w:rPr>
            </w:pPr>
            <w:r>
              <w:rPr>
                <w:rFonts w:hint="eastAsia" w:ascii="Times New Roman" w:hAnsi="Times New Roman" w:cs="Times New Roman"/>
                <w:color w:val="000000" w:themeColor="text1"/>
                <w14:textFill>
                  <w14:solidFill>
                    <w14:schemeClr w14:val="tx1"/>
                  </w14:solidFill>
                </w14:textFill>
              </w:rPr>
              <w:t>日常咨询（3年）90000元；</w:t>
            </w:r>
          </w:p>
          <w:p>
            <w:pPr>
              <w:pStyle w:val="15"/>
              <w:numPr>
                <w:ilvl w:val="255"/>
                <w:numId w:val="0"/>
              </w:numPr>
              <w:spacing w:line="480" w:lineRule="exact"/>
              <w:rPr>
                <w:rFonts w:hAnsi="宋体" w:cs="宋体"/>
                <w:b/>
                <w:bCs/>
                <w:color w:val="FF0000"/>
              </w:rPr>
            </w:pPr>
            <w:r>
              <w:rPr>
                <w:rFonts w:hint="eastAsia" w:hAnsi="宋体" w:cs="宋体"/>
                <w:sz w:val="20"/>
                <w:szCs w:val="20"/>
              </w:rPr>
              <w:t>最高投标限价作为投标人投标报价的控制上限，投标报价（以投标人报价函所报大写金额为准）超过最高投标限价的，其投标将予否决。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851" w:type="dxa"/>
            <w:noWrap/>
            <w:vAlign w:val="center"/>
          </w:tcPr>
          <w:p>
            <w:pPr>
              <w:pStyle w:val="15"/>
              <w:spacing w:line="480" w:lineRule="exact"/>
              <w:jc w:val="center"/>
              <w:rPr>
                <w:rFonts w:hAnsi="宋体"/>
              </w:rPr>
            </w:pPr>
            <w:r>
              <w:rPr>
                <w:rFonts w:hint="eastAsia" w:hAnsi="宋体"/>
              </w:rPr>
              <w:t>18</w:t>
            </w:r>
          </w:p>
        </w:tc>
        <w:tc>
          <w:tcPr>
            <w:tcW w:w="1796" w:type="dxa"/>
            <w:noWrap/>
            <w:vAlign w:val="center"/>
          </w:tcPr>
          <w:p>
            <w:pPr>
              <w:pStyle w:val="15"/>
              <w:spacing w:line="480" w:lineRule="exact"/>
              <w:jc w:val="center"/>
              <w:rPr>
                <w:rFonts w:hAnsi="宋体"/>
              </w:rPr>
            </w:pPr>
            <w:r>
              <w:rPr>
                <w:rFonts w:hint="eastAsia" w:hAnsi="宋体"/>
              </w:rPr>
              <w:t>比选申请报价的</w:t>
            </w:r>
          </w:p>
          <w:p>
            <w:pPr>
              <w:pStyle w:val="15"/>
              <w:spacing w:line="480" w:lineRule="exact"/>
              <w:jc w:val="center"/>
              <w:rPr>
                <w:rFonts w:hAnsi="宋体"/>
              </w:rPr>
            </w:pPr>
            <w:r>
              <w:rPr>
                <w:rFonts w:hint="eastAsia" w:hAnsi="宋体"/>
              </w:rPr>
              <w:t>其他要求</w:t>
            </w:r>
          </w:p>
        </w:tc>
        <w:tc>
          <w:tcPr>
            <w:tcW w:w="6709" w:type="dxa"/>
            <w:noWrap/>
            <w:vAlign w:val="center"/>
          </w:tcPr>
          <w:p>
            <w:pPr>
              <w:pStyle w:val="15"/>
              <w:spacing w:line="440" w:lineRule="exact"/>
              <w:rPr>
                <w:rFonts w:hAnsi="宋体"/>
              </w:rPr>
            </w:pPr>
            <w:r>
              <w:rPr>
                <w:rFonts w:hint="eastAsia" w:hAnsi="宋体"/>
              </w:rPr>
              <w:t>本次报价为固定价，协议期间不调价，该价格包括但不限于完成每一个工作任务咨询服务所需的管理、保险、税金、自行现场踏勘、利润等费用以及所有责任（包括安全责任）、义务和一切风险等。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51" w:type="dxa"/>
            <w:noWrap/>
            <w:vAlign w:val="center"/>
          </w:tcPr>
          <w:p>
            <w:pPr>
              <w:pStyle w:val="20"/>
              <w:spacing w:line="480" w:lineRule="exact"/>
              <w:jc w:val="center"/>
              <w:rPr>
                <w:rFonts w:ascii="宋体" w:hAnsi="宋体"/>
                <w:sz w:val="21"/>
                <w:szCs w:val="21"/>
              </w:rPr>
            </w:pPr>
            <w:r>
              <w:rPr>
                <w:rFonts w:hint="eastAsia" w:ascii="宋体" w:hAnsi="宋体"/>
                <w:sz w:val="21"/>
                <w:szCs w:val="21"/>
              </w:rPr>
              <w:t>19</w:t>
            </w:r>
          </w:p>
        </w:tc>
        <w:tc>
          <w:tcPr>
            <w:tcW w:w="1796" w:type="dxa"/>
            <w:noWrap/>
            <w:vAlign w:val="center"/>
          </w:tcPr>
          <w:p>
            <w:pPr>
              <w:pStyle w:val="20"/>
              <w:spacing w:line="480" w:lineRule="exact"/>
              <w:rPr>
                <w:rFonts w:hAnsi="宋体"/>
                <w:sz w:val="21"/>
                <w:szCs w:val="21"/>
              </w:rPr>
            </w:pPr>
            <w:r>
              <w:rPr>
                <w:rFonts w:hint="eastAsia" w:hAnsi="宋体"/>
                <w:sz w:val="21"/>
                <w:szCs w:val="21"/>
              </w:rPr>
              <w:t>资格审查资料</w:t>
            </w:r>
          </w:p>
        </w:tc>
        <w:tc>
          <w:tcPr>
            <w:tcW w:w="6709" w:type="dxa"/>
            <w:noWrap/>
            <w:vAlign w:val="center"/>
          </w:tcPr>
          <w:p>
            <w:pPr>
              <w:pStyle w:val="15"/>
              <w:spacing w:line="480" w:lineRule="exact"/>
              <w:rPr>
                <w:rFonts w:ascii="Times New Roman" w:hAnsi="宋体"/>
              </w:rPr>
            </w:pPr>
            <w:r>
              <w:rPr>
                <w:rFonts w:hint="eastAsia" w:hAnsi="宋体"/>
              </w:rPr>
              <w:t>比选申请人提供的资格审查资料必须</w:t>
            </w:r>
            <w:r>
              <w:rPr>
                <w:rFonts w:hAnsi="宋体"/>
              </w:rPr>
              <w:t>满足资格</w:t>
            </w:r>
            <w:r>
              <w:rPr>
                <w:rFonts w:hint="eastAsia" w:hAnsi="宋体"/>
              </w:rPr>
              <w:t>审查</w:t>
            </w:r>
            <w:r>
              <w:rPr>
                <w:rFonts w:hAnsi="宋体"/>
              </w:rPr>
              <w:t>条件</w:t>
            </w:r>
            <w:r>
              <w:rPr>
                <w:rFonts w:hint="eastAsia" w:hAnsi="宋体"/>
              </w:rPr>
              <w:t>最低要求，并附相关证明材料，证明材料以比选申请文件格式中要求为准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3" w:hRule="atLeast"/>
        </w:trPr>
        <w:tc>
          <w:tcPr>
            <w:tcW w:w="851" w:type="dxa"/>
            <w:noWrap/>
            <w:vAlign w:val="center"/>
          </w:tcPr>
          <w:p>
            <w:pPr>
              <w:pStyle w:val="15"/>
              <w:adjustRightInd w:val="0"/>
              <w:snapToGrid w:val="0"/>
              <w:spacing w:line="480" w:lineRule="exact"/>
              <w:jc w:val="center"/>
              <w:rPr>
                <w:rFonts w:hAnsi="宋体"/>
              </w:rPr>
            </w:pPr>
            <w:r>
              <w:rPr>
                <w:rFonts w:hint="eastAsia" w:hAnsi="宋体"/>
              </w:rPr>
              <w:t>20</w:t>
            </w:r>
          </w:p>
        </w:tc>
        <w:tc>
          <w:tcPr>
            <w:tcW w:w="1796" w:type="dxa"/>
            <w:noWrap/>
            <w:vAlign w:val="center"/>
          </w:tcPr>
          <w:p>
            <w:pPr>
              <w:snapToGrid w:val="0"/>
              <w:spacing w:line="480" w:lineRule="exact"/>
              <w:jc w:val="center"/>
              <w:rPr>
                <w:rFonts w:ascii="宋体" w:hAnsi="宋体"/>
                <w:szCs w:val="21"/>
              </w:rPr>
            </w:pPr>
            <w:r>
              <w:rPr>
                <w:rFonts w:hint="eastAsia" w:ascii="宋体" w:hAnsi="宋体"/>
                <w:szCs w:val="21"/>
              </w:rPr>
              <w:t>签字或盖章</w:t>
            </w:r>
          </w:p>
          <w:p>
            <w:pPr>
              <w:snapToGrid w:val="0"/>
              <w:spacing w:line="480" w:lineRule="exact"/>
              <w:jc w:val="center"/>
              <w:rPr>
                <w:rFonts w:ascii="宋体" w:hAnsi="宋体"/>
                <w:szCs w:val="21"/>
              </w:rPr>
            </w:pPr>
            <w:r>
              <w:rPr>
                <w:rFonts w:hint="eastAsia" w:ascii="宋体" w:hAnsi="宋体"/>
                <w:szCs w:val="21"/>
              </w:rPr>
              <w:t>要求</w:t>
            </w:r>
          </w:p>
        </w:tc>
        <w:tc>
          <w:tcPr>
            <w:tcW w:w="6709" w:type="dxa"/>
            <w:noWrap/>
          </w:tcPr>
          <w:p>
            <w:pPr>
              <w:spacing w:line="440" w:lineRule="exact"/>
              <w:rPr>
                <w:rFonts w:ascii="宋体" w:hAnsi="宋体"/>
                <w:szCs w:val="21"/>
              </w:rPr>
            </w:pPr>
            <w:r>
              <w:rPr>
                <w:rFonts w:hint="eastAsia" w:ascii="宋体" w:hAnsi="宋体"/>
                <w:szCs w:val="21"/>
              </w:rPr>
              <w:t>（1）法定代表人或其委托代理人必须在比选申请文件格式要求签署的地方亲自签署，并不得用印章、签名章或电子制版签名；</w:t>
            </w:r>
          </w:p>
          <w:p>
            <w:pPr>
              <w:spacing w:line="440" w:lineRule="exact"/>
              <w:rPr>
                <w:rFonts w:ascii="宋体" w:hAnsi="宋体"/>
                <w:szCs w:val="21"/>
              </w:rPr>
            </w:pPr>
            <w:r>
              <w:rPr>
                <w:rFonts w:hint="eastAsia" w:ascii="宋体" w:hAnsi="宋体"/>
                <w:szCs w:val="21"/>
              </w:rPr>
              <w:t>（2）比选申请文件格式要求盖章的地方都须加盖比选申请人单位章（法定名称），不得使用专用印章，单位章内容必须与单位营业执照名称一致。</w:t>
            </w:r>
          </w:p>
          <w:p>
            <w:pPr>
              <w:spacing w:line="440" w:lineRule="exact"/>
              <w:rPr>
                <w:rFonts w:ascii="宋体" w:hAnsi="宋体"/>
                <w:szCs w:val="21"/>
              </w:rPr>
            </w:pPr>
            <w:r>
              <w:rPr>
                <w:rFonts w:hint="eastAsia" w:ascii="宋体" w:hAnsi="宋体"/>
                <w:szCs w:val="21"/>
              </w:rPr>
              <w:t>（3）比选申请文件中的任何改动之处应加盖单位章或由比选申请人的法定代表人或其委托代理人签字确认。</w:t>
            </w:r>
          </w:p>
          <w:p>
            <w:pPr>
              <w:tabs>
                <w:tab w:val="left" w:pos="5220"/>
                <w:tab w:val="left" w:pos="5400"/>
                <w:tab w:val="left" w:pos="5580"/>
              </w:tabs>
              <w:autoSpaceDE w:val="0"/>
              <w:autoSpaceDN w:val="0"/>
              <w:adjustRightInd w:val="0"/>
              <w:spacing w:line="480" w:lineRule="exact"/>
              <w:rPr>
                <w:rFonts w:ascii="宋体" w:hAnsi="宋体"/>
                <w:szCs w:val="21"/>
              </w:rPr>
            </w:pPr>
            <w:r>
              <w:rPr>
                <w:rFonts w:hint="eastAsia" w:ascii="宋体" w:hAnsi="宋体"/>
                <w:szCs w:val="21"/>
              </w:rPr>
              <w:t>（4）</w:t>
            </w:r>
            <w:r>
              <w:rPr>
                <w:rFonts w:ascii="宋体" w:hAnsi="宋体"/>
                <w:szCs w:val="21"/>
              </w:rPr>
              <w:t>法定代表人身份证明、授权委托书具体要求见</w:t>
            </w:r>
            <w:r>
              <w:rPr>
                <w:rFonts w:hint="eastAsia" w:ascii="宋体" w:hAnsi="宋体"/>
                <w:szCs w:val="21"/>
              </w:rPr>
              <w:t>第五章比选申请</w:t>
            </w:r>
            <w:r>
              <w:rPr>
                <w:rFonts w:ascii="宋体" w:hAnsi="宋体"/>
                <w:szCs w:val="21"/>
              </w:rPr>
              <w:t>文件格式</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851" w:type="dxa"/>
            <w:noWrap/>
            <w:vAlign w:val="center"/>
          </w:tcPr>
          <w:p>
            <w:pPr>
              <w:pStyle w:val="15"/>
              <w:adjustRightInd w:val="0"/>
              <w:snapToGrid w:val="0"/>
              <w:spacing w:line="480" w:lineRule="exact"/>
              <w:jc w:val="center"/>
              <w:rPr>
                <w:rFonts w:hAnsi="宋体"/>
              </w:rPr>
            </w:pPr>
            <w:r>
              <w:rPr>
                <w:rFonts w:hint="eastAsia" w:hAnsi="宋体"/>
              </w:rPr>
              <w:t>21</w:t>
            </w:r>
          </w:p>
        </w:tc>
        <w:tc>
          <w:tcPr>
            <w:tcW w:w="1796" w:type="dxa"/>
            <w:noWrap/>
            <w:vAlign w:val="center"/>
          </w:tcPr>
          <w:p>
            <w:pPr>
              <w:tabs>
                <w:tab w:val="left" w:pos="5220"/>
                <w:tab w:val="left" w:pos="5400"/>
                <w:tab w:val="left" w:pos="5580"/>
              </w:tabs>
              <w:spacing w:line="480" w:lineRule="exact"/>
              <w:jc w:val="center"/>
              <w:rPr>
                <w:kern w:val="0"/>
                <w:szCs w:val="21"/>
              </w:rPr>
            </w:pPr>
            <w:r>
              <w:rPr>
                <w:rFonts w:hint="eastAsia"/>
                <w:kern w:val="0"/>
                <w:szCs w:val="21"/>
              </w:rPr>
              <w:t>比选申请</w:t>
            </w:r>
            <w:r>
              <w:rPr>
                <w:kern w:val="0"/>
                <w:szCs w:val="21"/>
              </w:rPr>
              <w:t>文件副本份数</w:t>
            </w:r>
          </w:p>
        </w:tc>
        <w:tc>
          <w:tcPr>
            <w:tcW w:w="6709" w:type="dxa"/>
            <w:noWrap/>
            <w:vAlign w:val="center"/>
          </w:tcPr>
          <w:p>
            <w:pPr>
              <w:tabs>
                <w:tab w:val="left" w:pos="5220"/>
                <w:tab w:val="left" w:pos="5400"/>
                <w:tab w:val="left" w:pos="5580"/>
              </w:tabs>
              <w:autoSpaceDE w:val="0"/>
              <w:autoSpaceDN w:val="0"/>
              <w:adjustRightInd w:val="0"/>
              <w:spacing w:line="480" w:lineRule="exact"/>
              <w:rPr>
                <w:kern w:val="0"/>
                <w:szCs w:val="21"/>
                <w:u w:val="single"/>
              </w:rPr>
            </w:pPr>
            <w:r>
              <w:rPr>
                <w:rFonts w:hint="eastAsia"/>
                <w:kern w:val="0"/>
                <w:szCs w:val="21"/>
              </w:rPr>
              <w:t>比选申请文件副本份数：</w:t>
            </w:r>
            <w:r>
              <w:rPr>
                <w:rFonts w:hint="eastAsia"/>
                <w:kern w:val="0"/>
                <w:szCs w:val="21"/>
                <w:u w:val="single"/>
              </w:rPr>
              <w:t xml:space="preserve">  1  </w:t>
            </w:r>
            <w:r>
              <w:rPr>
                <w:kern w:val="0"/>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6" w:hRule="atLeast"/>
        </w:trPr>
        <w:tc>
          <w:tcPr>
            <w:tcW w:w="851" w:type="dxa"/>
            <w:noWrap/>
            <w:vAlign w:val="center"/>
          </w:tcPr>
          <w:p>
            <w:pPr>
              <w:pStyle w:val="54"/>
              <w:adjustRightInd w:val="0"/>
              <w:snapToGrid w:val="0"/>
              <w:spacing w:line="480" w:lineRule="exact"/>
              <w:ind w:left="153" w:leftChars="73"/>
              <w:jc w:val="center"/>
              <w:rPr>
                <w:rFonts w:ascii="宋体" w:hAnsi="宋体"/>
                <w:szCs w:val="21"/>
              </w:rPr>
            </w:pPr>
            <w:r>
              <w:rPr>
                <w:rFonts w:hint="eastAsia" w:ascii="宋体" w:hAnsi="宋体"/>
                <w:szCs w:val="21"/>
              </w:rPr>
              <w:t>22</w:t>
            </w:r>
          </w:p>
        </w:tc>
        <w:tc>
          <w:tcPr>
            <w:tcW w:w="1796" w:type="dxa"/>
            <w:noWrap/>
            <w:vAlign w:val="center"/>
          </w:tcPr>
          <w:p>
            <w:pPr>
              <w:pStyle w:val="54"/>
              <w:adjustRightInd w:val="0"/>
              <w:snapToGrid w:val="0"/>
              <w:spacing w:line="480" w:lineRule="exact"/>
              <w:jc w:val="center"/>
              <w:rPr>
                <w:rFonts w:ascii="宋体" w:hAnsi="宋体"/>
                <w:szCs w:val="21"/>
              </w:rPr>
            </w:pPr>
            <w:r>
              <w:rPr>
                <w:rFonts w:hint="eastAsia" w:hAnsi="宋体"/>
                <w:szCs w:val="21"/>
              </w:rPr>
              <w:t>装订的其他要求</w:t>
            </w:r>
          </w:p>
        </w:tc>
        <w:tc>
          <w:tcPr>
            <w:tcW w:w="6709" w:type="dxa"/>
            <w:noWrap/>
            <w:vAlign w:val="center"/>
          </w:tcPr>
          <w:p>
            <w:pPr>
              <w:pStyle w:val="12"/>
              <w:spacing w:after="0" w:line="440" w:lineRule="exact"/>
              <w:ind w:firstLine="404" w:firstLineChars="200"/>
              <w:rPr>
                <w:rFonts w:hAnsi="宋体"/>
                <w:spacing w:val="-4"/>
                <w:szCs w:val="21"/>
              </w:rPr>
            </w:pPr>
            <w:r>
              <w:rPr>
                <w:rFonts w:hint="eastAsia" w:ascii="宋体" w:hAnsi="宋体" w:cs="宋体"/>
                <w:spacing w:val="-4"/>
                <w:szCs w:val="21"/>
              </w:rPr>
              <w:t>比选申请文件的正本、副本应编制目录、且逐页标注连续编码。比选申请文件应采用粘贴或装订方式分别装订成册，并标明“正本”、“副本”，不得采用活页夹等可随时拆换的方式装订，否则，由于比选申请文件页码编制和装订造成的丢失、散落或其它后果概由比选申请人自行承担。比选文件要求比选申请文件中附原件的，应一律附于比选申请文件“正本”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4" w:hRule="atLeast"/>
        </w:trPr>
        <w:tc>
          <w:tcPr>
            <w:tcW w:w="851" w:type="dxa"/>
            <w:noWrap/>
            <w:vAlign w:val="center"/>
          </w:tcPr>
          <w:p>
            <w:pPr>
              <w:pStyle w:val="28"/>
              <w:adjustRightInd w:val="0"/>
              <w:snapToGrid w:val="0"/>
              <w:spacing w:before="0" w:after="0" w:line="440" w:lineRule="exact"/>
              <w:rPr>
                <w:rFonts w:ascii="宋体" w:hAnsi="宋体" w:eastAsia="宋体" w:cs="Courier New"/>
                <w:b w:val="0"/>
                <w:kern w:val="2"/>
                <w:sz w:val="21"/>
                <w:szCs w:val="21"/>
              </w:rPr>
            </w:pPr>
            <w:r>
              <w:rPr>
                <w:rFonts w:hint="eastAsia" w:ascii="宋体" w:hAnsi="宋体" w:eastAsia="宋体" w:cs="Courier New"/>
                <w:b w:val="0"/>
                <w:kern w:val="2"/>
                <w:sz w:val="21"/>
                <w:szCs w:val="21"/>
              </w:rPr>
              <w:t>23</w:t>
            </w:r>
          </w:p>
        </w:tc>
        <w:tc>
          <w:tcPr>
            <w:tcW w:w="1796" w:type="dxa"/>
            <w:noWrap/>
            <w:vAlign w:val="center"/>
          </w:tcPr>
          <w:p>
            <w:pPr>
              <w:pStyle w:val="28"/>
              <w:adjustRightInd w:val="0"/>
              <w:snapToGrid w:val="0"/>
              <w:spacing w:before="0" w:after="0" w:line="440" w:lineRule="exact"/>
              <w:rPr>
                <w:rFonts w:ascii="宋体" w:hAnsi="宋体" w:eastAsia="宋体" w:cs="Courier New"/>
                <w:b w:val="0"/>
                <w:kern w:val="2"/>
                <w:sz w:val="21"/>
                <w:szCs w:val="21"/>
              </w:rPr>
            </w:pPr>
            <w:bookmarkStart w:id="22" w:name="_Toc415835043"/>
            <w:bookmarkStart w:id="23" w:name="_Toc521373042"/>
            <w:bookmarkStart w:id="24" w:name="_Toc364155894"/>
            <w:bookmarkStart w:id="25" w:name="_Toc55290525"/>
            <w:r>
              <w:rPr>
                <w:rFonts w:hint="eastAsia" w:ascii="宋体" w:hAnsi="宋体" w:eastAsia="宋体" w:cs="Courier New"/>
                <w:b w:val="0"/>
                <w:kern w:val="2"/>
                <w:sz w:val="21"/>
                <w:szCs w:val="21"/>
              </w:rPr>
              <w:t>比选申请文件的密封</w:t>
            </w:r>
            <w:bookmarkEnd w:id="22"/>
            <w:bookmarkEnd w:id="23"/>
            <w:bookmarkEnd w:id="24"/>
            <w:bookmarkEnd w:id="25"/>
            <w:bookmarkStart w:id="26" w:name="_Toc521373043"/>
            <w:bookmarkStart w:id="27" w:name="_Toc55290526"/>
            <w:r>
              <w:rPr>
                <w:rFonts w:hint="eastAsia" w:ascii="宋体" w:hAnsi="宋体" w:eastAsia="宋体" w:cs="Courier New"/>
                <w:b w:val="0"/>
                <w:kern w:val="2"/>
                <w:sz w:val="21"/>
                <w:szCs w:val="21"/>
              </w:rPr>
              <w:t>与包装</w:t>
            </w:r>
            <w:bookmarkEnd w:id="26"/>
            <w:bookmarkEnd w:id="27"/>
          </w:p>
        </w:tc>
        <w:tc>
          <w:tcPr>
            <w:tcW w:w="6709" w:type="dxa"/>
            <w:noWrap/>
            <w:vAlign w:val="center"/>
          </w:tcPr>
          <w:p>
            <w:pPr>
              <w:autoSpaceDE w:val="0"/>
              <w:autoSpaceDN w:val="0"/>
              <w:spacing w:line="440" w:lineRule="exact"/>
              <w:ind w:left="105"/>
              <w:rPr>
                <w:rFonts w:ascii="宋体" w:hAnsi="宋体" w:cs="宋体"/>
                <w:kern w:val="0"/>
                <w:szCs w:val="21"/>
              </w:rPr>
            </w:pPr>
            <w:r>
              <w:rPr>
                <w:rFonts w:hint="eastAsia" w:ascii="宋体" w:hAnsi="宋体" w:cs="宋体"/>
                <w:kern w:val="0"/>
                <w:szCs w:val="21"/>
              </w:rPr>
              <w:t>（1）内层封套：比选申请文件第一信封（商务及技术文件）、第二信封（报价文件）应分别装入内层封套密封，内层封套应密封完好， 且在封口处应加盖比选申请人单位章；</w:t>
            </w:r>
          </w:p>
          <w:p>
            <w:pPr>
              <w:autoSpaceDE w:val="0"/>
              <w:autoSpaceDN w:val="0"/>
              <w:spacing w:line="440" w:lineRule="exact"/>
              <w:ind w:left="105"/>
              <w:rPr>
                <w:rFonts w:ascii="宋体" w:hAnsi="宋体" w:cs="宋体"/>
                <w:kern w:val="0"/>
                <w:szCs w:val="21"/>
              </w:rPr>
            </w:pPr>
            <w:r>
              <w:rPr>
                <w:rFonts w:hint="eastAsia" w:ascii="宋体" w:hAnsi="宋体" w:cs="宋体"/>
                <w:kern w:val="0"/>
                <w:szCs w:val="21"/>
              </w:rPr>
              <w:t>（2）外层总封套：将上述单独密封的文件统一密封在一个外层总封套中。外层封套应加贴封条或加盖密封章。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2" w:hRule="atLeast"/>
        </w:trPr>
        <w:tc>
          <w:tcPr>
            <w:tcW w:w="851" w:type="dxa"/>
            <w:noWrap/>
            <w:vAlign w:val="center"/>
          </w:tcPr>
          <w:p>
            <w:pPr>
              <w:adjustRightInd w:val="0"/>
              <w:snapToGrid w:val="0"/>
              <w:spacing w:line="480" w:lineRule="exact"/>
              <w:jc w:val="center"/>
              <w:rPr>
                <w:rFonts w:ascii="宋体" w:hAnsi="宋体"/>
                <w:szCs w:val="21"/>
              </w:rPr>
            </w:pPr>
            <w:r>
              <w:rPr>
                <w:rFonts w:hint="eastAsia" w:ascii="宋体" w:hAnsi="宋体"/>
                <w:szCs w:val="21"/>
              </w:rPr>
              <w:t>27</w:t>
            </w:r>
          </w:p>
        </w:tc>
        <w:tc>
          <w:tcPr>
            <w:tcW w:w="1796" w:type="dxa"/>
            <w:noWrap/>
            <w:vAlign w:val="center"/>
          </w:tcPr>
          <w:p>
            <w:pPr>
              <w:pStyle w:val="3"/>
              <w:adjustRightInd w:val="0"/>
              <w:snapToGrid w:val="0"/>
              <w:spacing w:line="480" w:lineRule="exact"/>
              <w:ind w:firstLine="0"/>
              <w:rPr>
                <w:szCs w:val="21"/>
              </w:rPr>
            </w:pPr>
            <w:r>
              <w:rPr>
                <w:rFonts w:hint="eastAsia"/>
                <w:szCs w:val="21"/>
              </w:rPr>
              <w:t>封套上写明</w:t>
            </w:r>
          </w:p>
        </w:tc>
        <w:tc>
          <w:tcPr>
            <w:tcW w:w="6709" w:type="dxa"/>
            <w:noWrap/>
            <w:vAlign w:val="center"/>
          </w:tcPr>
          <w:p>
            <w:pPr>
              <w:spacing w:line="440" w:lineRule="exact"/>
              <w:rPr>
                <w:rFonts w:ascii="宋体" w:hAnsi="宋体" w:cs="宋体"/>
                <w:szCs w:val="21"/>
              </w:rPr>
            </w:pPr>
            <w:r>
              <w:rPr>
                <w:rFonts w:hint="eastAsia" w:ascii="宋体" w:hAnsi="宋体"/>
                <w:b/>
                <w:szCs w:val="21"/>
              </w:rPr>
              <w:t>比选申请文件</w:t>
            </w:r>
            <w:r>
              <w:rPr>
                <w:rFonts w:ascii="宋体" w:hAnsi="宋体"/>
                <w:b/>
                <w:szCs w:val="21"/>
              </w:rPr>
              <w:t>封套</w:t>
            </w:r>
            <w:r>
              <w:rPr>
                <w:rFonts w:hint="eastAsia" w:ascii="宋体" w:hAnsi="宋体" w:cs="宋体"/>
                <w:szCs w:val="21"/>
              </w:rPr>
              <w:t>（内装比选申请文件正副本）：</w:t>
            </w:r>
          </w:p>
          <w:p>
            <w:pPr>
              <w:pStyle w:val="15"/>
              <w:spacing w:line="440" w:lineRule="exact"/>
              <w:rPr>
                <w:rFonts w:hAnsi="宋体"/>
              </w:rPr>
            </w:pPr>
            <w:r>
              <w:rPr>
                <w:rFonts w:hint="eastAsia" w:hAnsi="宋体"/>
              </w:rPr>
              <w:t>四川成渝高速公路股份有限公司成渝分公司周期性安全咨询服务项目比选申请</w:t>
            </w:r>
            <w:r>
              <w:rPr>
                <w:rFonts w:hAnsi="宋体"/>
              </w:rPr>
              <w:t>文件</w:t>
            </w:r>
          </w:p>
          <w:p>
            <w:pPr>
              <w:spacing w:line="440" w:lineRule="exact"/>
              <w:rPr>
                <w:rFonts w:ascii="宋体" w:hAnsi="宋体"/>
                <w:szCs w:val="21"/>
              </w:rPr>
            </w:pPr>
            <w:r>
              <w:rPr>
                <w:rFonts w:ascii="宋体" w:hAnsi="宋体"/>
                <w:szCs w:val="21"/>
              </w:rPr>
              <w:t>在</w:t>
            </w:r>
            <w:r>
              <w:rPr>
                <w:rFonts w:hint="eastAsia" w:ascii="宋体" w:hAnsi="宋体"/>
                <w:szCs w:val="21"/>
                <w:u w:val="single"/>
              </w:rPr>
              <w:t xml:space="preserve">     </w:t>
            </w:r>
            <w:r>
              <w:rPr>
                <w:rFonts w:ascii="宋体" w:hAnsi="宋体"/>
                <w:szCs w:val="21"/>
              </w:rPr>
              <w:t>年</w:t>
            </w:r>
            <w:r>
              <w:rPr>
                <w:rFonts w:hint="eastAsia" w:ascii="宋体" w:hAnsi="宋体"/>
                <w:szCs w:val="21"/>
                <w:u w:val="single"/>
              </w:rPr>
              <w:t xml:space="preserve">     </w:t>
            </w:r>
            <w:r>
              <w:rPr>
                <w:rFonts w:ascii="宋体" w:hAnsi="宋体"/>
                <w:szCs w:val="21"/>
              </w:rPr>
              <w:t>月</w:t>
            </w:r>
            <w:r>
              <w:rPr>
                <w:rFonts w:hint="eastAsia" w:ascii="宋体" w:hAnsi="宋体"/>
                <w:szCs w:val="21"/>
                <w:u w:val="single"/>
              </w:rPr>
              <w:t xml:space="preserve">     </w:t>
            </w:r>
            <w:r>
              <w:rPr>
                <w:rFonts w:ascii="宋体" w:hAnsi="宋体"/>
                <w:szCs w:val="21"/>
              </w:rPr>
              <w:t>日</w:t>
            </w:r>
            <w:r>
              <w:rPr>
                <w:rFonts w:hint="eastAsia" w:ascii="宋体" w:hAnsi="宋体"/>
                <w:szCs w:val="21"/>
                <w:u w:val="single"/>
              </w:rPr>
              <w:t xml:space="preserve">     </w:t>
            </w:r>
            <w:r>
              <w:rPr>
                <w:rFonts w:ascii="宋体" w:hAnsi="宋体"/>
                <w:szCs w:val="21"/>
              </w:rPr>
              <w:t>时</w:t>
            </w:r>
            <w:r>
              <w:rPr>
                <w:rFonts w:hint="eastAsia" w:ascii="宋体" w:hAnsi="宋体"/>
                <w:szCs w:val="21"/>
                <w:u w:val="single"/>
              </w:rPr>
              <w:t xml:space="preserve">     </w:t>
            </w:r>
            <w:r>
              <w:rPr>
                <w:rFonts w:ascii="宋体" w:hAnsi="宋体"/>
                <w:szCs w:val="21"/>
              </w:rPr>
              <w:t>分前不得开启</w:t>
            </w:r>
          </w:p>
          <w:p>
            <w:pPr>
              <w:pStyle w:val="15"/>
              <w:spacing w:line="440" w:lineRule="exact"/>
              <w:rPr>
                <w:rFonts w:hAnsi="宋体"/>
                <w:u w:val="single"/>
              </w:rPr>
            </w:pPr>
            <w:r>
              <w:rPr>
                <w:rFonts w:hint="eastAsia" w:hAnsi="宋体"/>
              </w:rPr>
              <w:t>比选申请</w:t>
            </w:r>
            <w:r>
              <w:rPr>
                <w:rFonts w:hAnsi="宋体"/>
              </w:rPr>
              <w:t>人名称：</w:t>
            </w:r>
            <w:r>
              <w:rPr>
                <w:rFonts w:hint="eastAsia" w:hAnsi="宋体"/>
                <w:u w:val="single"/>
              </w:rPr>
              <w:t xml:space="preserve">                        </w:t>
            </w:r>
          </w:p>
          <w:p>
            <w:pPr>
              <w:spacing w:line="440" w:lineRule="exact"/>
              <w:rPr>
                <w:rFonts w:hAnsi="宋体"/>
                <w:szCs w:val="21"/>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851" w:type="dxa"/>
            <w:noWrap/>
            <w:vAlign w:val="center"/>
          </w:tcPr>
          <w:p>
            <w:pPr>
              <w:adjustRightInd w:val="0"/>
              <w:snapToGrid w:val="0"/>
              <w:spacing w:line="480" w:lineRule="exact"/>
              <w:jc w:val="center"/>
              <w:rPr>
                <w:rFonts w:ascii="宋体" w:hAnsi="宋体"/>
                <w:szCs w:val="21"/>
              </w:rPr>
            </w:pPr>
            <w:r>
              <w:rPr>
                <w:rFonts w:hint="eastAsia" w:ascii="宋体" w:hAnsi="宋体"/>
                <w:szCs w:val="21"/>
              </w:rPr>
              <w:t>28</w:t>
            </w:r>
          </w:p>
        </w:tc>
        <w:tc>
          <w:tcPr>
            <w:tcW w:w="1796" w:type="dxa"/>
            <w:noWrap/>
            <w:vAlign w:val="center"/>
          </w:tcPr>
          <w:p>
            <w:pPr>
              <w:pStyle w:val="3"/>
              <w:adjustRightInd w:val="0"/>
              <w:snapToGrid w:val="0"/>
              <w:spacing w:line="480" w:lineRule="exact"/>
              <w:ind w:firstLine="0"/>
              <w:jc w:val="center"/>
              <w:rPr>
                <w:rFonts w:ascii="宋体" w:hAnsi="宋体"/>
                <w:szCs w:val="21"/>
              </w:rPr>
            </w:pPr>
            <w:r>
              <w:rPr>
                <w:rFonts w:hint="eastAsia" w:ascii="宋体" w:hAnsi="宋体" w:cs="宋体"/>
                <w:szCs w:val="21"/>
              </w:rPr>
              <w:t>开标时间和地点</w:t>
            </w:r>
          </w:p>
        </w:tc>
        <w:tc>
          <w:tcPr>
            <w:tcW w:w="6709" w:type="dxa"/>
            <w:noWrap/>
            <w:vAlign w:val="center"/>
          </w:tcPr>
          <w:p>
            <w:pPr>
              <w:autoSpaceDE w:val="0"/>
              <w:autoSpaceDN w:val="0"/>
              <w:spacing w:line="480" w:lineRule="exact"/>
              <w:rPr>
                <w:rFonts w:ascii="宋体" w:hAnsi="宋体"/>
                <w:szCs w:val="21"/>
              </w:rPr>
            </w:pPr>
            <w:r>
              <w:rPr>
                <w:rFonts w:hint="eastAsia" w:ascii="宋体" w:hAnsi="宋体"/>
                <w:szCs w:val="21"/>
              </w:rPr>
              <w:t>见比选公告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1" w:hRule="atLeast"/>
        </w:trPr>
        <w:tc>
          <w:tcPr>
            <w:tcW w:w="851" w:type="dxa"/>
            <w:noWrap/>
            <w:vAlign w:val="center"/>
          </w:tcPr>
          <w:p>
            <w:pPr>
              <w:adjustRightInd w:val="0"/>
              <w:snapToGrid w:val="0"/>
              <w:spacing w:line="480" w:lineRule="exact"/>
              <w:jc w:val="center"/>
              <w:rPr>
                <w:rFonts w:ascii="宋体" w:hAnsi="宋体"/>
                <w:szCs w:val="21"/>
              </w:rPr>
            </w:pPr>
            <w:r>
              <w:rPr>
                <w:rFonts w:hint="eastAsia" w:ascii="宋体" w:hAnsi="宋体"/>
                <w:szCs w:val="21"/>
              </w:rPr>
              <w:t>29</w:t>
            </w:r>
          </w:p>
        </w:tc>
        <w:tc>
          <w:tcPr>
            <w:tcW w:w="1796" w:type="dxa"/>
            <w:noWrap/>
            <w:vAlign w:val="center"/>
          </w:tcPr>
          <w:p>
            <w:pPr>
              <w:adjustRightInd w:val="0"/>
              <w:snapToGrid w:val="0"/>
              <w:spacing w:line="480" w:lineRule="exact"/>
              <w:jc w:val="center"/>
              <w:rPr>
                <w:rFonts w:ascii="宋体" w:hAnsi="宋体"/>
                <w:szCs w:val="21"/>
              </w:rPr>
            </w:pPr>
            <w:r>
              <w:rPr>
                <w:rFonts w:hint="eastAsia" w:ascii="宋体" w:hAnsi="宋体"/>
                <w:szCs w:val="21"/>
              </w:rPr>
              <w:t>开标程序</w:t>
            </w:r>
          </w:p>
        </w:tc>
        <w:tc>
          <w:tcPr>
            <w:tcW w:w="6709" w:type="dxa"/>
            <w:noWrap/>
            <w:vAlign w:val="center"/>
          </w:tcPr>
          <w:p>
            <w:pPr>
              <w:spacing w:line="480" w:lineRule="exact"/>
              <w:rPr>
                <w:rFonts w:ascii="宋体" w:hAnsi="宋体"/>
                <w:szCs w:val="21"/>
              </w:rPr>
            </w:pPr>
            <w:r>
              <w:rPr>
                <w:rFonts w:hint="eastAsia" w:ascii="宋体" w:hAnsi="宋体"/>
                <w:szCs w:val="21"/>
              </w:rPr>
              <w:t>（1）开标由比选人组织。并在监督部门的监督下进行。如同一标段在投标文件递交截止时间递交投标文件的投标人不足三家（不包括三家），将不予开标，投标文件原封退还。</w:t>
            </w:r>
          </w:p>
          <w:p>
            <w:pPr>
              <w:spacing w:line="480" w:lineRule="exact"/>
              <w:rPr>
                <w:rFonts w:ascii="宋体" w:hAnsi="宋体"/>
                <w:szCs w:val="21"/>
              </w:rPr>
            </w:pPr>
            <w:r>
              <w:rPr>
                <w:rFonts w:hint="eastAsia" w:ascii="宋体" w:hAnsi="宋体"/>
                <w:szCs w:val="21"/>
              </w:rPr>
              <w:t>第一信封开标时间及地点：同比选公告</w:t>
            </w:r>
          </w:p>
          <w:p>
            <w:pPr>
              <w:spacing w:line="480" w:lineRule="exact"/>
              <w:rPr>
                <w:rFonts w:ascii="宋体" w:hAnsi="宋体"/>
                <w:szCs w:val="21"/>
              </w:rPr>
            </w:pPr>
            <w:r>
              <w:rPr>
                <w:rFonts w:hint="eastAsia" w:ascii="宋体" w:hAnsi="宋体"/>
                <w:szCs w:val="21"/>
              </w:rPr>
              <w:t>第二信封开标时间、地点：比选人将电话通知。</w:t>
            </w:r>
          </w:p>
          <w:p>
            <w:pPr>
              <w:spacing w:line="480" w:lineRule="exact"/>
              <w:rPr>
                <w:rFonts w:ascii="宋体" w:hAnsi="宋体"/>
                <w:szCs w:val="21"/>
              </w:rPr>
            </w:pPr>
            <w:r>
              <w:rPr>
                <w:rFonts w:hint="eastAsia" w:ascii="宋体" w:hAnsi="宋体"/>
                <w:szCs w:val="21"/>
              </w:rPr>
              <w:t>（2）投标文件的密封性经监督人员及投标人代表检查确认完好后，将比选文件当众拆封，由工作人员进行唱标。</w:t>
            </w:r>
          </w:p>
          <w:p>
            <w:pPr>
              <w:spacing w:line="480" w:lineRule="exact"/>
              <w:rPr>
                <w:rFonts w:ascii="宋体" w:hAnsi="宋体"/>
                <w:szCs w:val="21"/>
              </w:rPr>
            </w:pPr>
            <w:r>
              <w:rPr>
                <w:rFonts w:hint="eastAsia" w:ascii="宋体" w:hAnsi="宋体"/>
                <w:szCs w:val="21"/>
              </w:rPr>
              <w:t>（3）开标顺序：随机。</w:t>
            </w:r>
          </w:p>
          <w:p>
            <w:pPr>
              <w:spacing w:line="480" w:lineRule="exact"/>
              <w:rPr>
                <w:rFonts w:ascii="宋体" w:hAnsi="宋体"/>
                <w:szCs w:val="21"/>
              </w:rPr>
            </w:pPr>
            <w:r>
              <w:rPr>
                <w:rFonts w:hint="eastAsia" w:ascii="宋体" w:hAnsi="宋体"/>
                <w:szCs w:val="21"/>
              </w:rPr>
              <w:t>（4）投标人代表不参加开标的，视同该投标人默认开标记录，不得事后对开标记录提出任何异议。</w:t>
            </w:r>
          </w:p>
          <w:p>
            <w:pPr>
              <w:spacing w:line="480" w:lineRule="exact"/>
              <w:rPr>
                <w:rFonts w:ascii="宋体" w:hAnsi="宋体"/>
                <w:szCs w:val="21"/>
              </w:rPr>
            </w:pPr>
            <w:r>
              <w:rPr>
                <w:rFonts w:hint="eastAsia" w:ascii="宋体" w:hAnsi="宋体"/>
                <w:szCs w:val="21"/>
              </w:rPr>
              <w:t>（5）投标人对唱标有异议的，应在获得开标会主持人同意后当场提出，未当场提出异议的，视为对唱标认可。</w:t>
            </w:r>
          </w:p>
          <w:p>
            <w:pPr>
              <w:pStyle w:val="15"/>
              <w:spacing w:line="480" w:lineRule="exact"/>
              <w:rPr>
                <w:rFonts w:hAnsi="宋体"/>
              </w:rPr>
            </w:pPr>
            <w:r>
              <w:rPr>
                <w:rFonts w:hint="eastAsia" w:hAnsi="宋体"/>
              </w:rPr>
              <w:t>（6） 投标人代表应对开标记录签字确认。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1" w:type="dxa"/>
            <w:noWrap/>
            <w:vAlign w:val="center"/>
          </w:tcPr>
          <w:p>
            <w:pPr>
              <w:adjustRightInd w:val="0"/>
              <w:snapToGrid w:val="0"/>
              <w:spacing w:line="480" w:lineRule="exact"/>
              <w:jc w:val="center"/>
              <w:rPr>
                <w:rFonts w:ascii="宋体" w:hAnsi="宋体"/>
                <w:szCs w:val="21"/>
              </w:rPr>
            </w:pPr>
            <w:r>
              <w:rPr>
                <w:rFonts w:hint="eastAsia" w:ascii="宋体" w:hAnsi="宋体"/>
                <w:szCs w:val="21"/>
              </w:rPr>
              <w:t>30</w:t>
            </w:r>
          </w:p>
        </w:tc>
        <w:tc>
          <w:tcPr>
            <w:tcW w:w="1796" w:type="dxa"/>
            <w:noWrap/>
            <w:vAlign w:val="center"/>
          </w:tcPr>
          <w:p>
            <w:pPr>
              <w:adjustRightInd w:val="0"/>
              <w:snapToGrid w:val="0"/>
              <w:spacing w:line="480" w:lineRule="exact"/>
              <w:jc w:val="center"/>
              <w:rPr>
                <w:rFonts w:ascii="宋体" w:hAnsi="宋体"/>
                <w:szCs w:val="21"/>
              </w:rPr>
            </w:pPr>
            <w:r>
              <w:rPr>
                <w:rFonts w:hint="eastAsia" w:ascii="宋体" w:hAnsi="宋体"/>
                <w:szCs w:val="21"/>
              </w:rPr>
              <w:t>评标程序</w:t>
            </w:r>
          </w:p>
        </w:tc>
        <w:tc>
          <w:tcPr>
            <w:tcW w:w="6709" w:type="dxa"/>
            <w:noWrap/>
            <w:vAlign w:val="center"/>
          </w:tcPr>
          <w:p>
            <w:pPr>
              <w:spacing w:line="480" w:lineRule="exact"/>
              <w:rPr>
                <w:rFonts w:ascii="宋体" w:hAnsi="宋体"/>
                <w:szCs w:val="21"/>
              </w:rPr>
            </w:pPr>
            <w:r>
              <w:rPr>
                <w:rFonts w:hint="eastAsia" w:ascii="宋体" w:hAnsi="宋体"/>
                <w:szCs w:val="21"/>
              </w:rPr>
              <w:t>（1）评标将采用综合评分法，评标工作由依法组建的评标委员会负责。</w:t>
            </w:r>
          </w:p>
          <w:p>
            <w:pPr>
              <w:spacing w:line="480" w:lineRule="exact"/>
              <w:rPr>
                <w:rFonts w:ascii="宋体" w:hAnsi="宋体"/>
                <w:szCs w:val="21"/>
              </w:rPr>
            </w:pPr>
            <w:r>
              <w:rPr>
                <w:rFonts w:hint="eastAsia" w:ascii="宋体" w:hAnsi="宋体"/>
                <w:szCs w:val="21"/>
              </w:rPr>
              <w:t>（2）评标委员会按比选文件规定的评标程序及标准对投标文件进行评审。</w:t>
            </w:r>
          </w:p>
          <w:p>
            <w:pPr>
              <w:spacing w:line="480" w:lineRule="exact"/>
              <w:rPr>
                <w:rFonts w:ascii="宋体" w:hAnsi="宋体"/>
                <w:szCs w:val="21"/>
              </w:rPr>
            </w:pPr>
            <w:r>
              <w:rPr>
                <w:rFonts w:hint="eastAsia" w:ascii="宋体" w:hAnsi="宋体"/>
                <w:szCs w:val="21"/>
              </w:rPr>
              <w:t>（3）投标人对评标委员会的评标过程施加影响的任何行为都可能导致否决其投标人的投标。</w:t>
            </w:r>
          </w:p>
          <w:p>
            <w:pPr>
              <w:spacing w:line="480" w:lineRule="exact"/>
              <w:rPr>
                <w:rFonts w:ascii="宋体" w:hAnsi="宋体"/>
                <w:szCs w:val="21"/>
              </w:rPr>
            </w:pPr>
            <w:r>
              <w:rPr>
                <w:rFonts w:hint="eastAsia" w:ascii="宋体" w:hAnsi="宋体"/>
                <w:szCs w:val="21"/>
              </w:rPr>
              <w:t>（4）在评标期间，评标委员会可要求投标人对其投标文件进行澄清，有关澄清的要求和答复应以书面形式（含传真）提交，但不得对投标价格或其它实质性内容做任何更改。</w:t>
            </w:r>
          </w:p>
          <w:p>
            <w:pPr>
              <w:spacing w:line="480" w:lineRule="exact"/>
              <w:rPr>
                <w:rFonts w:ascii="宋体" w:hAnsi="宋体"/>
                <w:szCs w:val="21"/>
              </w:rPr>
            </w:pPr>
            <w:r>
              <w:rPr>
                <w:rFonts w:hint="eastAsia" w:ascii="宋体" w:hAnsi="宋体"/>
                <w:szCs w:val="21"/>
              </w:rPr>
              <w:t>（5）评标的依据为比选文件，与比选文件要求有实质性偏离的投标文件无效。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851" w:type="dxa"/>
            <w:noWrap/>
            <w:vAlign w:val="center"/>
          </w:tcPr>
          <w:p>
            <w:pPr>
              <w:adjustRightInd w:val="0"/>
              <w:snapToGrid w:val="0"/>
              <w:spacing w:line="480" w:lineRule="exact"/>
              <w:jc w:val="center"/>
              <w:rPr>
                <w:rFonts w:ascii="宋体" w:hAnsi="宋体"/>
                <w:szCs w:val="21"/>
              </w:rPr>
            </w:pPr>
            <w:r>
              <w:rPr>
                <w:rFonts w:hint="eastAsia" w:ascii="宋体" w:hAnsi="宋体"/>
                <w:szCs w:val="21"/>
              </w:rPr>
              <w:t>31</w:t>
            </w:r>
          </w:p>
        </w:tc>
        <w:tc>
          <w:tcPr>
            <w:tcW w:w="1796" w:type="dxa"/>
            <w:noWrap/>
            <w:vAlign w:val="center"/>
          </w:tcPr>
          <w:p>
            <w:pPr>
              <w:adjustRightInd w:val="0"/>
              <w:snapToGrid w:val="0"/>
              <w:spacing w:line="480" w:lineRule="exact"/>
              <w:jc w:val="center"/>
              <w:rPr>
                <w:rFonts w:ascii="宋体" w:hAnsi="宋体"/>
                <w:szCs w:val="21"/>
              </w:rPr>
            </w:pPr>
            <w:r>
              <w:rPr>
                <w:rFonts w:hint="eastAsia" w:ascii="宋体" w:hAnsi="宋体"/>
                <w:szCs w:val="21"/>
              </w:rPr>
              <w:t>评标委员会的组建</w:t>
            </w:r>
          </w:p>
        </w:tc>
        <w:tc>
          <w:tcPr>
            <w:tcW w:w="6709" w:type="dxa"/>
            <w:noWrap/>
            <w:vAlign w:val="center"/>
          </w:tcPr>
          <w:p>
            <w:pPr>
              <w:spacing w:line="480" w:lineRule="exact"/>
              <w:rPr>
                <w:rFonts w:ascii="宋体" w:hAnsi="宋体"/>
                <w:szCs w:val="21"/>
              </w:rPr>
            </w:pPr>
            <w:r>
              <w:rPr>
                <w:rFonts w:hint="eastAsia" w:ascii="宋体" w:hAnsi="宋体"/>
                <w:szCs w:val="21"/>
              </w:rPr>
              <w:t>评审委员会构成：3</w:t>
            </w:r>
            <w:r>
              <w:rPr>
                <w:rFonts w:ascii="宋体" w:hAnsi="宋体"/>
                <w:szCs w:val="21"/>
              </w:rPr>
              <w:t>人</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851" w:type="dxa"/>
            <w:noWrap/>
            <w:vAlign w:val="center"/>
          </w:tcPr>
          <w:p>
            <w:pPr>
              <w:jc w:val="center"/>
              <w:rPr>
                <w:rFonts w:ascii="宋体" w:hAnsi="宋体"/>
                <w:szCs w:val="21"/>
              </w:rPr>
            </w:pPr>
            <w:r>
              <w:rPr>
                <w:rFonts w:hint="eastAsia" w:ascii="宋体" w:hAnsi="宋体" w:cs="宋体"/>
                <w:color w:val="000000"/>
                <w:szCs w:val="21"/>
              </w:rPr>
              <w:t>32</w:t>
            </w:r>
          </w:p>
        </w:tc>
        <w:tc>
          <w:tcPr>
            <w:tcW w:w="1796" w:type="dxa"/>
            <w:noWrap/>
            <w:vAlign w:val="center"/>
          </w:tcPr>
          <w:p>
            <w:pPr>
              <w:jc w:val="center"/>
              <w:rPr>
                <w:rFonts w:ascii="宋体" w:hAnsi="宋体"/>
                <w:szCs w:val="21"/>
              </w:rPr>
            </w:pPr>
            <w:r>
              <w:rPr>
                <w:rFonts w:hint="eastAsia" w:ascii="宋体" w:hAnsi="宋体" w:cs="宋体"/>
                <w:color w:val="000000"/>
                <w:szCs w:val="21"/>
              </w:rPr>
              <w:t>是否授权评审委员会确定中选人</w:t>
            </w:r>
          </w:p>
        </w:tc>
        <w:tc>
          <w:tcPr>
            <w:tcW w:w="6709" w:type="dxa"/>
            <w:noWrap/>
            <w:vAlign w:val="center"/>
          </w:tcPr>
          <w:p>
            <w:pPr>
              <w:rPr>
                <w:rFonts w:ascii="宋体" w:hAnsi="宋体"/>
                <w:szCs w:val="21"/>
              </w:rPr>
            </w:pPr>
            <w:r>
              <w:rPr>
                <w:rFonts w:hint="eastAsia" w:ascii="宋体" w:hAnsi="宋体" w:cs="宋体"/>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1" w:type="dxa"/>
            <w:noWrap/>
            <w:vAlign w:val="center"/>
          </w:tcPr>
          <w:p>
            <w:pPr>
              <w:adjustRightInd w:val="0"/>
              <w:snapToGrid w:val="0"/>
              <w:spacing w:line="480" w:lineRule="exact"/>
              <w:jc w:val="center"/>
              <w:rPr>
                <w:rFonts w:ascii="宋体" w:hAnsi="宋体"/>
                <w:szCs w:val="21"/>
              </w:rPr>
            </w:pPr>
            <w:r>
              <w:rPr>
                <w:rFonts w:hint="eastAsia" w:ascii="宋体" w:hAnsi="宋体"/>
                <w:szCs w:val="21"/>
              </w:rPr>
              <w:t>33</w:t>
            </w:r>
          </w:p>
        </w:tc>
        <w:tc>
          <w:tcPr>
            <w:tcW w:w="1796" w:type="dxa"/>
            <w:noWrap/>
            <w:vAlign w:val="center"/>
          </w:tcPr>
          <w:p>
            <w:pPr>
              <w:adjustRightInd w:val="0"/>
              <w:snapToGrid w:val="0"/>
              <w:spacing w:line="480" w:lineRule="exact"/>
              <w:jc w:val="center"/>
              <w:rPr>
                <w:rFonts w:ascii="宋体" w:hAnsi="宋体"/>
                <w:szCs w:val="21"/>
              </w:rPr>
            </w:pPr>
            <w:r>
              <w:rPr>
                <w:rFonts w:hint="eastAsia" w:ascii="宋体" w:hAnsi="宋体"/>
                <w:szCs w:val="21"/>
              </w:rPr>
              <w:t>中标候选人公示媒介及期限</w:t>
            </w:r>
          </w:p>
        </w:tc>
        <w:tc>
          <w:tcPr>
            <w:tcW w:w="6709" w:type="dxa"/>
            <w:noWrap/>
            <w:vAlign w:val="center"/>
          </w:tcPr>
          <w:p>
            <w:pPr>
              <w:adjustRightInd w:val="0"/>
              <w:snapToGrid w:val="0"/>
              <w:spacing w:line="440" w:lineRule="exact"/>
              <w:rPr>
                <w:rFonts w:hAnsi="宋体"/>
                <w:szCs w:val="21"/>
              </w:rPr>
            </w:pPr>
            <w:r>
              <w:rPr>
                <w:rFonts w:hint="eastAsia" w:ascii="宋体" w:hAnsi="宋体"/>
                <w:szCs w:val="21"/>
              </w:rPr>
              <w:t>公示媒介：</w:t>
            </w:r>
            <w:r>
              <w:rPr>
                <w:rFonts w:hint="eastAsia" w:hAnsi="宋体"/>
                <w:szCs w:val="21"/>
              </w:rPr>
              <w:t>四川成渝高速公路股份有限公司成渝分公司网站（</w:t>
            </w:r>
            <w:r>
              <w:rPr>
                <w:kern w:val="0"/>
                <w:szCs w:val="21"/>
              </w:rPr>
              <w:t>http://www.sc</w:t>
            </w:r>
            <w:r>
              <w:rPr>
                <w:rFonts w:hint="eastAsia"/>
                <w:kern w:val="0"/>
                <w:szCs w:val="21"/>
              </w:rPr>
              <w:t>cygs</w:t>
            </w:r>
            <w:r>
              <w:rPr>
                <w:kern w:val="0"/>
                <w:szCs w:val="21"/>
              </w:rPr>
              <w:t>.com</w:t>
            </w:r>
            <w:r>
              <w:rPr>
                <w:rFonts w:hAnsi="宋体"/>
                <w:szCs w:val="21"/>
              </w:rPr>
              <w:t>）</w:t>
            </w:r>
            <w:r>
              <w:rPr>
                <w:rFonts w:hint="eastAsia" w:hAnsi="宋体"/>
                <w:szCs w:val="21"/>
              </w:rPr>
              <w:t xml:space="preserve">     </w:t>
            </w:r>
          </w:p>
          <w:p>
            <w:pPr>
              <w:adjustRightInd w:val="0"/>
              <w:snapToGrid w:val="0"/>
              <w:spacing w:line="440" w:lineRule="exact"/>
              <w:rPr>
                <w:rFonts w:hAnsi="宋体"/>
                <w:szCs w:val="21"/>
              </w:rPr>
            </w:pPr>
            <w:r>
              <w:rPr>
                <w:rFonts w:hint="eastAsia" w:ascii="宋体" w:hAnsi="宋体"/>
                <w:szCs w:val="21"/>
              </w:rPr>
              <w:t>公示期限：3个工作日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1" w:type="dxa"/>
            <w:noWrap/>
            <w:vAlign w:val="center"/>
          </w:tcPr>
          <w:p>
            <w:pPr>
              <w:jc w:val="center"/>
              <w:rPr>
                <w:rFonts w:hAnsi="宋体"/>
              </w:rPr>
            </w:pPr>
            <w:r>
              <w:rPr>
                <w:rFonts w:hint="eastAsia" w:ascii="宋体" w:hAnsi="宋体" w:cs="宋体"/>
                <w:color w:val="000000"/>
                <w:szCs w:val="21"/>
              </w:rPr>
              <w:t>34</w:t>
            </w:r>
          </w:p>
        </w:tc>
        <w:tc>
          <w:tcPr>
            <w:tcW w:w="1796" w:type="dxa"/>
            <w:noWrap/>
            <w:vAlign w:val="center"/>
          </w:tcPr>
          <w:p>
            <w:pPr>
              <w:jc w:val="center"/>
              <w:rPr>
                <w:rFonts w:hAnsi="宋体"/>
              </w:rPr>
            </w:pPr>
            <w:r>
              <w:rPr>
                <w:rFonts w:hint="eastAsia"/>
              </w:rPr>
              <w:t>协议协议书的签署</w:t>
            </w:r>
          </w:p>
        </w:tc>
        <w:tc>
          <w:tcPr>
            <w:tcW w:w="6709" w:type="dxa"/>
            <w:noWrap/>
            <w:vAlign w:val="center"/>
          </w:tcPr>
          <w:p>
            <w:pPr>
              <w:adjustRightInd w:val="0"/>
              <w:snapToGrid w:val="0"/>
              <w:rPr>
                <w:rFonts w:ascii="宋体" w:hAnsi="宋体"/>
                <w:szCs w:val="21"/>
              </w:rPr>
            </w:pPr>
            <w:r>
              <w:rPr>
                <w:rFonts w:hint="eastAsia" w:ascii="宋体" w:hAnsi="宋体"/>
                <w:szCs w:val="21"/>
              </w:rPr>
              <w:t>（1）按第四章执行。</w:t>
            </w:r>
          </w:p>
          <w:p>
            <w:pPr>
              <w:adjustRightInd w:val="0"/>
              <w:snapToGrid w:val="0"/>
              <w:rPr>
                <w:rFonts w:ascii="宋体" w:hAnsi="宋体"/>
                <w:szCs w:val="21"/>
              </w:rPr>
            </w:pPr>
            <w:r>
              <w:rPr>
                <w:rFonts w:hint="eastAsia" w:ascii="宋体" w:hAnsi="宋体"/>
                <w:szCs w:val="21"/>
              </w:rPr>
              <w:t>（2）此项目招标有效为三个自然年（自合同签订之日起），合同采取一年一签的方式，在年度合同期满前1个月内，发包人根据承包人服务成果完成情况进行考核，考核合格后可续签次年合同。</w:t>
            </w:r>
          </w:p>
          <w:p>
            <w:pPr>
              <w:rPr>
                <w:rFonts w:hAnsi="宋体"/>
              </w:rPr>
            </w:pPr>
            <w:r>
              <w:rPr>
                <w:rFonts w:hint="eastAsia" w:hAnsi="宋体"/>
              </w:rPr>
              <w:t>（3）中</w:t>
            </w:r>
            <w:r>
              <w:rPr>
                <w:rFonts w:hint="eastAsia" w:ascii="宋体" w:hAnsi="宋体"/>
                <w:szCs w:val="21"/>
              </w:rPr>
              <w:t>选</w:t>
            </w:r>
            <w:r>
              <w:rPr>
                <w:rFonts w:hint="eastAsia" w:hAnsi="宋体"/>
              </w:rPr>
              <w:t>人无正当理由拒签或逾期签订协议的，比选人直接取消其中标资格</w:t>
            </w:r>
            <w:r>
              <w:rPr>
                <w:rFonts w:hint="eastAsia" w:hAnsi="宋体"/>
                <w:color w:val="000000" w:themeColor="text1"/>
                <w:kern w:val="0"/>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1" w:type="dxa"/>
            <w:noWrap/>
            <w:vAlign w:val="center"/>
          </w:tcPr>
          <w:p>
            <w:pPr>
              <w:jc w:val="center"/>
              <w:rPr>
                <w:rFonts w:ascii="宋体" w:hAnsi="宋体" w:cs="宋体"/>
                <w:color w:val="000000"/>
                <w:szCs w:val="21"/>
              </w:rPr>
            </w:pPr>
            <w:r>
              <w:rPr>
                <w:rFonts w:hint="eastAsia" w:ascii="宋体" w:hAnsi="宋体" w:cs="宋体"/>
                <w:color w:val="000000"/>
                <w:szCs w:val="21"/>
              </w:rPr>
              <w:t>35</w:t>
            </w:r>
          </w:p>
        </w:tc>
        <w:tc>
          <w:tcPr>
            <w:tcW w:w="1796" w:type="dxa"/>
            <w:noWrap/>
            <w:vAlign w:val="center"/>
          </w:tcPr>
          <w:p>
            <w:pPr>
              <w:jc w:val="center"/>
            </w:pPr>
            <w:r>
              <w:rPr>
                <w:rFonts w:hint="eastAsia"/>
              </w:rPr>
              <w:t>协议书的执行</w:t>
            </w:r>
          </w:p>
        </w:tc>
        <w:tc>
          <w:tcPr>
            <w:tcW w:w="6709" w:type="dxa"/>
            <w:noWrap/>
            <w:vAlign w:val="center"/>
          </w:tcPr>
          <w:p>
            <w:pPr>
              <w:adjustRightInd w:val="0"/>
              <w:snapToGrid w:val="0"/>
              <w:rPr>
                <w:rFonts w:ascii="宋体" w:hAnsi="宋体"/>
                <w:szCs w:val="21"/>
              </w:rPr>
            </w:pPr>
            <w:r>
              <w:rPr>
                <w:rFonts w:hint="eastAsia" w:ascii="宋体" w:hAnsi="宋体"/>
                <w:szCs w:val="21"/>
              </w:rPr>
              <w:t>中标人依照比选文件规定和投标文件承诺与比选人签订服务协议，具体付款方式详见协议条款。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851" w:type="dxa"/>
            <w:noWrap/>
            <w:vAlign w:val="center"/>
          </w:tcPr>
          <w:p>
            <w:pPr>
              <w:jc w:val="center"/>
              <w:rPr>
                <w:rFonts w:ascii="宋体" w:hAnsi="宋体" w:cs="宋体"/>
                <w:color w:val="000000"/>
                <w:szCs w:val="21"/>
              </w:rPr>
            </w:pPr>
            <w:r>
              <w:rPr>
                <w:rFonts w:hint="eastAsia" w:ascii="宋体" w:hAnsi="宋体" w:cs="宋体"/>
                <w:color w:val="000000"/>
                <w:szCs w:val="21"/>
              </w:rPr>
              <w:t>35</w:t>
            </w:r>
          </w:p>
        </w:tc>
        <w:tc>
          <w:tcPr>
            <w:tcW w:w="1796" w:type="dxa"/>
            <w:noWrap/>
            <w:vAlign w:val="center"/>
          </w:tcPr>
          <w:p>
            <w:pPr>
              <w:jc w:val="center"/>
            </w:pPr>
            <w:r>
              <w:rPr>
                <w:rFonts w:hint="eastAsia"/>
              </w:rPr>
              <w:t>重新比选</w:t>
            </w:r>
          </w:p>
        </w:tc>
        <w:tc>
          <w:tcPr>
            <w:tcW w:w="6709" w:type="dxa"/>
            <w:noWrap/>
            <w:vAlign w:val="center"/>
          </w:tcPr>
          <w:p>
            <w:pPr>
              <w:rPr>
                <w:rFonts w:ascii="宋体" w:hAnsi="宋体" w:cs="宋体"/>
                <w:color w:val="000000"/>
                <w:szCs w:val="21"/>
              </w:rPr>
            </w:pPr>
            <w:r>
              <w:rPr>
                <w:rFonts w:hint="eastAsia" w:ascii="宋体" w:hAnsi="宋体" w:cs="宋体"/>
                <w:color w:val="000000"/>
                <w:szCs w:val="21"/>
              </w:rPr>
              <w:t>出现下列特殊情况之一，比选人可重新比选：</w:t>
            </w:r>
          </w:p>
          <w:p>
            <w:pPr>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1</w:t>
            </w:r>
            <w:r>
              <w:rPr>
                <w:rFonts w:hint="eastAsia" w:ascii="宋体" w:hAnsi="宋体" w:cs="宋体"/>
                <w:color w:val="000000"/>
                <w:szCs w:val="21"/>
              </w:rPr>
              <w:t>）比选申请截止时间止，递交比选申请文件少于三个的；</w:t>
            </w:r>
          </w:p>
          <w:p>
            <w:pPr>
              <w:rPr>
                <w:rFonts w:ascii="宋体" w:hAnsi="宋体" w:cs="宋体"/>
                <w:color w:val="000000"/>
                <w:szCs w:val="21"/>
              </w:rPr>
            </w:pPr>
            <w:r>
              <w:rPr>
                <w:rFonts w:hint="eastAsia" w:ascii="宋体" w:hAnsi="宋体" w:cs="宋体"/>
                <w:color w:val="000000"/>
                <w:szCs w:val="21"/>
              </w:rPr>
              <w:t>（</w:t>
            </w:r>
            <w:r>
              <w:rPr>
                <w:rFonts w:ascii="宋体" w:hAnsi="宋体" w:cs="宋体"/>
                <w:color w:val="000000"/>
                <w:szCs w:val="21"/>
              </w:rPr>
              <w:t>2</w:t>
            </w:r>
            <w:r>
              <w:rPr>
                <w:rFonts w:hint="eastAsia" w:ascii="宋体" w:hAnsi="宋体" w:cs="宋体"/>
                <w:color w:val="000000"/>
                <w:szCs w:val="21"/>
              </w:rPr>
              <w:t>）经评审小组评审后否决全部比选申请的；</w:t>
            </w:r>
          </w:p>
          <w:p>
            <w:pPr>
              <w:rPr>
                <w:rFonts w:ascii="宋体" w:hAnsi="宋体" w:cs="宋体"/>
                <w:color w:val="000000"/>
                <w:szCs w:val="21"/>
              </w:rPr>
            </w:pPr>
            <w:r>
              <w:rPr>
                <w:rFonts w:hint="eastAsia" w:ascii="宋体" w:hAnsi="宋体" w:cs="宋体"/>
                <w:color w:val="000000"/>
                <w:szCs w:val="21"/>
              </w:rPr>
              <w:t>（3）评审小组推荐的中标候选人均未能与比选人签订合同的；</w:t>
            </w:r>
          </w:p>
          <w:p>
            <w:pPr>
              <w:pStyle w:val="12"/>
            </w:pPr>
            <w:r>
              <w:rPr>
                <w:rFonts w:hint="eastAsia"/>
              </w:rPr>
              <w:t>（</w:t>
            </w:r>
            <w:r>
              <w:rPr>
                <w:rFonts w:hint="eastAsia" w:ascii="宋体" w:hAnsi="宋体" w:cs="宋体"/>
                <w:color w:val="000000"/>
                <w:szCs w:val="21"/>
              </w:rPr>
              <w:t>4）</w:t>
            </w:r>
            <w:r>
              <w:rPr>
                <w:rFonts w:hint="eastAsia"/>
              </w:rPr>
              <w:t>排名第一的中标候选人放弃中标；或因不可抗力不能履行合同；或被查实存在影响中标结果的违法行为等情形不符合中标条件的，比选人可以按照评标委员会提出的中标候选人名单排序依次确定其他中标候选人为中标人，也可以重新比选；</w:t>
            </w:r>
          </w:p>
          <w:p>
            <w:pPr>
              <w:rPr>
                <w:rFonts w:ascii="宋体" w:hAnsi="宋体"/>
                <w:szCs w:val="21"/>
              </w:rPr>
            </w:pPr>
            <w:r>
              <w:rPr>
                <w:rFonts w:hint="eastAsia" w:ascii="宋体" w:hAnsi="宋体" w:cs="宋体"/>
                <w:color w:val="000000"/>
                <w:szCs w:val="21"/>
              </w:rPr>
              <w:t>（5）法律规定的其他情形。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851" w:type="dxa"/>
            <w:noWrap/>
            <w:vAlign w:val="center"/>
          </w:tcPr>
          <w:p>
            <w:pPr>
              <w:adjustRightInd w:val="0"/>
              <w:snapToGrid w:val="0"/>
              <w:spacing w:line="480" w:lineRule="exact"/>
              <w:jc w:val="center"/>
              <w:rPr>
                <w:rFonts w:ascii="宋体" w:hAnsi="宋体"/>
                <w:szCs w:val="21"/>
              </w:rPr>
            </w:pPr>
            <w:r>
              <w:rPr>
                <w:rFonts w:hint="eastAsia" w:ascii="宋体" w:hAnsi="宋体"/>
                <w:szCs w:val="21"/>
              </w:rPr>
              <w:t>36</w:t>
            </w:r>
          </w:p>
        </w:tc>
        <w:tc>
          <w:tcPr>
            <w:tcW w:w="1796" w:type="dxa"/>
            <w:noWrap/>
            <w:vAlign w:val="center"/>
          </w:tcPr>
          <w:p>
            <w:pPr>
              <w:pStyle w:val="15"/>
              <w:adjustRightInd w:val="0"/>
              <w:snapToGrid w:val="0"/>
              <w:spacing w:line="480" w:lineRule="exact"/>
              <w:jc w:val="center"/>
              <w:rPr>
                <w:rFonts w:hAnsi="宋体"/>
              </w:rPr>
            </w:pPr>
            <w:r>
              <w:rPr>
                <w:rFonts w:hint="eastAsia" w:hAnsi="宋体"/>
              </w:rPr>
              <w:t>监督部门</w:t>
            </w:r>
          </w:p>
        </w:tc>
        <w:tc>
          <w:tcPr>
            <w:tcW w:w="6709" w:type="dxa"/>
            <w:noWrap/>
            <w:vAlign w:val="center"/>
          </w:tcPr>
          <w:p>
            <w:pPr>
              <w:snapToGrid w:val="0"/>
              <w:spacing w:line="480" w:lineRule="exact"/>
              <w:rPr>
                <w:rFonts w:ascii="宋体" w:hAnsi="宋体" w:cs="宋体"/>
                <w:szCs w:val="21"/>
              </w:rPr>
            </w:pPr>
            <w:r>
              <w:rPr>
                <w:rFonts w:hint="eastAsia" w:ascii="宋体" w:hAnsi="宋体" w:cs="宋体"/>
                <w:szCs w:val="21"/>
              </w:rPr>
              <w:t>四川成渝高速公路股份有限公司</w:t>
            </w:r>
          </w:p>
          <w:p>
            <w:pPr>
              <w:snapToGrid w:val="0"/>
              <w:spacing w:line="480" w:lineRule="exact"/>
              <w:rPr>
                <w:rFonts w:ascii="宋体" w:hAnsi="宋体" w:cs="宋体"/>
                <w:szCs w:val="21"/>
              </w:rPr>
            </w:pPr>
            <w:r>
              <w:rPr>
                <w:rFonts w:hint="eastAsia" w:ascii="宋体" w:hAnsi="宋体" w:cs="宋体"/>
                <w:szCs w:val="21"/>
              </w:rPr>
              <w:t>电</w:t>
            </w:r>
            <w:r>
              <w:rPr>
                <w:rFonts w:ascii="宋体" w:hAnsi="宋体" w:cs="宋体"/>
                <w:szCs w:val="21"/>
              </w:rPr>
              <w:t xml:space="preserve">  </w:t>
            </w:r>
            <w:r>
              <w:rPr>
                <w:rFonts w:hint="eastAsia" w:ascii="宋体" w:hAnsi="宋体" w:cs="宋体"/>
                <w:szCs w:val="21"/>
              </w:rPr>
              <w:t>话：</w:t>
            </w:r>
            <w:r>
              <w:rPr>
                <w:rFonts w:ascii="宋体" w:hAnsi="宋体" w:cs="宋体"/>
                <w:szCs w:val="21"/>
              </w:rPr>
              <w:t>028-</w:t>
            </w:r>
            <w:r>
              <w:rPr>
                <w:rFonts w:hint="eastAsia" w:ascii="宋体" w:hAnsi="宋体" w:cs="宋体"/>
                <w:szCs w:val="21"/>
              </w:rPr>
              <w:t>85530742</w:t>
            </w:r>
          </w:p>
          <w:p>
            <w:pPr>
              <w:snapToGrid w:val="0"/>
              <w:spacing w:line="480" w:lineRule="exact"/>
              <w:rPr>
                <w:rFonts w:ascii="宋体" w:hAnsi="宋体" w:cs="宋体"/>
                <w:szCs w:val="21"/>
              </w:rPr>
            </w:pPr>
            <w:r>
              <w:rPr>
                <w:rFonts w:hint="eastAsia" w:ascii="宋体" w:hAnsi="宋体" w:cs="宋体"/>
                <w:szCs w:val="21"/>
              </w:rPr>
              <w:t>地址：成都市武侯祠大街252号</w:t>
            </w:r>
          </w:p>
          <w:p>
            <w:pPr>
              <w:snapToGrid w:val="0"/>
              <w:spacing w:line="480" w:lineRule="exact"/>
              <w:rPr>
                <w:rFonts w:ascii="宋体" w:hAnsi="宋体" w:cs="宋体"/>
                <w:szCs w:val="21"/>
              </w:rPr>
            </w:pPr>
            <w:r>
              <w:rPr>
                <w:rFonts w:hint="eastAsia" w:ascii="宋体" w:hAnsi="宋体" w:cs="宋体"/>
                <w:szCs w:val="21"/>
              </w:rPr>
              <w:t>邮编：</w:t>
            </w:r>
            <w:r>
              <w:rPr>
                <w:rFonts w:ascii="宋体" w:hAnsi="宋体" w:cs="宋体"/>
                <w:szCs w:val="21"/>
              </w:rPr>
              <w:t>610041</w:t>
            </w:r>
          </w:p>
        </w:tc>
      </w:tr>
    </w:tbl>
    <w:p>
      <w:pPr>
        <w:numPr>
          <w:ilvl w:val="255"/>
          <w:numId w:val="0"/>
        </w:numPr>
        <w:spacing w:line="600" w:lineRule="exact"/>
        <w:jc w:val="left"/>
        <w:rPr>
          <w:rFonts w:ascii="仿宋_GB2312" w:hAnsi="仿宋_GB2312" w:eastAsia="仿宋_GB2312" w:cs="仿宋_GB2312"/>
          <w:b/>
          <w:bCs/>
          <w:sz w:val="28"/>
          <w:szCs w:val="24"/>
        </w:rPr>
      </w:pPr>
    </w:p>
    <w:p>
      <w:pPr>
        <w:spacing w:line="600" w:lineRule="exact"/>
        <w:ind w:firstLine="560" w:firstLineChars="200"/>
        <w:rPr>
          <w:rFonts w:ascii="仿宋_GB2312" w:hAnsi="仿宋_GB2312" w:eastAsia="仿宋_GB2312" w:cs="仿宋_GB2312"/>
          <w:sz w:val="28"/>
          <w:szCs w:val="24"/>
        </w:rPr>
      </w:pPr>
    </w:p>
    <w:p>
      <w:pPr>
        <w:spacing w:line="600" w:lineRule="exact"/>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br w:type="page"/>
      </w:r>
      <w:bookmarkStart w:id="28" w:name="_Toc456166140"/>
      <w:bookmarkStart w:id="29" w:name="_Toc455607512"/>
      <w:bookmarkStart w:id="30" w:name="_Toc456166149"/>
    </w:p>
    <w:p>
      <w:pPr>
        <w:pStyle w:val="5"/>
        <w:jc w:val="center"/>
        <w:rPr>
          <w:sz w:val="36"/>
          <w:szCs w:val="36"/>
        </w:rPr>
      </w:pPr>
      <w:bookmarkStart w:id="31" w:name="_Toc3039"/>
      <w:bookmarkStart w:id="32" w:name="_Toc27670"/>
      <w:bookmarkStart w:id="33" w:name="_Toc15232"/>
      <w:bookmarkStart w:id="34" w:name="_Toc3420"/>
      <w:bookmarkStart w:id="35" w:name="_Toc9069"/>
      <w:bookmarkStart w:id="36" w:name="_Toc14986"/>
      <w:bookmarkStart w:id="37" w:name="_Toc1141"/>
      <w:bookmarkStart w:id="38" w:name="_Toc7772"/>
      <w:bookmarkStart w:id="39" w:name="_Toc32050"/>
      <w:bookmarkStart w:id="40" w:name="_Toc27244"/>
      <w:r>
        <w:rPr>
          <w:rFonts w:hint="eastAsia"/>
          <w:sz w:val="36"/>
          <w:szCs w:val="36"/>
        </w:rPr>
        <w:t>第三章  评审办法及标准</w:t>
      </w:r>
    </w:p>
    <w:p>
      <w:pPr>
        <w:spacing w:line="360" w:lineRule="auto"/>
        <w:jc w:val="center"/>
        <w:rPr>
          <w:b/>
          <w:sz w:val="30"/>
          <w:szCs w:val="30"/>
        </w:rPr>
      </w:pPr>
      <w:r>
        <w:rPr>
          <w:rFonts w:hint="eastAsia"/>
          <w:b/>
          <w:sz w:val="30"/>
          <w:szCs w:val="30"/>
        </w:rPr>
        <w:t>一、评审办法前附表</w:t>
      </w:r>
    </w:p>
    <w:p>
      <w:pPr>
        <w:spacing w:line="360" w:lineRule="auto"/>
        <w:jc w:val="center"/>
        <w:rPr>
          <w:b/>
          <w:sz w:val="30"/>
          <w:szCs w:val="30"/>
        </w:rPr>
      </w:pPr>
      <w:r>
        <w:rPr>
          <w:rFonts w:hint="eastAsia"/>
          <w:b/>
          <w:sz w:val="30"/>
          <w:szCs w:val="30"/>
        </w:rPr>
        <w:t>（综合评分法）</w:t>
      </w:r>
    </w:p>
    <w:p>
      <w:pPr>
        <w:spacing w:after="120" w:afterLines="50"/>
        <w:ind w:firstLine="420" w:firstLineChars="200"/>
        <w:rPr>
          <w:rFonts w:ascii="宋体" w:hAnsi="宋体" w:cs="黑体"/>
          <w:szCs w:val="21"/>
        </w:rPr>
      </w:pPr>
      <w:r>
        <w:rPr>
          <w:rFonts w:hint="eastAsia" w:ascii="宋体" w:hAnsi="宋体" w:cs="黑体"/>
          <w:szCs w:val="21"/>
        </w:rPr>
        <w:t>《评审办法前附表》用于明确评审的方法、因素、标准、程序。比选人根据本项目具体特点和实际需要详细列明全部评审因素、标准。</w:t>
      </w:r>
      <w:r>
        <w:rPr>
          <w:rFonts w:hint="eastAsia" w:ascii="宋体" w:hAnsi="宋体" w:cs="黑体"/>
          <w:b/>
          <w:szCs w:val="21"/>
        </w:rPr>
        <w:t>没有列明的因素和标准不得作为评审的依据</w:t>
      </w:r>
      <w:r>
        <w:rPr>
          <w:rFonts w:hint="eastAsia" w:ascii="宋体" w:hAnsi="宋体" w:cs="黑体"/>
          <w:szCs w:val="21"/>
        </w:rPr>
        <w:t>。前附表内容与正文不一致的，以前附表内容为准。</w:t>
      </w:r>
    </w:p>
    <w:tbl>
      <w:tblPr>
        <w:tblStyle w:val="30"/>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276"/>
        <w:gridCol w:w="1134"/>
        <w:gridCol w:w="55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1134" w:type="dxa"/>
            <w:vAlign w:val="center"/>
          </w:tcPr>
          <w:p>
            <w:pPr>
              <w:pStyle w:val="15"/>
              <w:adjustRightInd w:val="0"/>
              <w:snapToGrid w:val="0"/>
              <w:jc w:val="center"/>
              <w:rPr>
                <w:rFonts w:hAnsi="宋体" w:cs="Times New Roman"/>
                <w:b/>
              </w:rPr>
            </w:pPr>
            <w:r>
              <w:rPr>
                <w:rFonts w:hint="eastAsia" w:hAnsi="宋体" w:cs="Times New Roman"/>
                <w:b/>
              </w:rPr>
              <w:t>条款号</w:t>
            </w:r>
          </w:p>
        </w:tc>
        <w:tc>
          <w:tcPr>
            <w:tcW w:w="7938" w:type="dxa"/>
            <w:gridSpan w:val="3"/>
            <w:vAlign w:val="center"/>
          </w:tcPr>
          <w:p>
            <w:pPr>
              <w:pStyle w:val="15"/>
              <w:adjustRightInd w:val="0"/>
              <w:snapToGrid w:val="0"/>
              <w:jc w:val="center"/>
              <w:rPr>
                <w:rFonts w:hAnsi="宋体" w:cs="Times New Roman"/>
                <w:b/>
              </w:rPr>
            </w:pPr>
            <w:r>
              <w:rPr>
                <w:rFonts w:hint="eastAsia" w:hAnsi="宋体" w:cs="Times New Roman"/>
                <w:b/>
              </w:rPr>
              <w:t>评审因素与评审标准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9" w:hRule="atLeast"/>
        </w:trPr>
        <w:tc>
          <w:tcPr>
            <w:tcW w:w="1134" w:type="dxa"/>
            <w:vAlign w:val="center"/>
          </w:tcPr>
          <w:p>
            <w:pPr>
              <w:pStyle w:val="15"/>
              <w:adjustRightInd w:val="0"/>
              <w:snapToGrid w:val="0"/>
              <w:jc w:val="center"/>
              <w:rPr>
                <w:rFonts w:hAnsi="宋体" w:cs="Times New Roman"/>
              </w:rPr>
            </w:pPr>
            <w:r>
              <w:rPr>
                <w:rFonts w:hint="eastAsia" w:hAnsi="宋体" w:cs="Times New Roman"/>
              </w:rPr>
              <w:t>1.</w:t>
            </w:r>
            <w:r>
              <w:rPr>
                <w:rFonts w:hint="eastAsia" w:hAnsi="宋体"/>
                <w:kern w:val="0"/>
              </w:rPr>
              <w:t>第一信封</w:t>
            </w:r>
            <w:r>
              <w:rPr>
                <w:rFonts w:hint="eastAsia" w:hAnsi="宋体" w:cs="Times New Roman"/>
                <w:bCs/>
              </w:rPr>
              <w:t>形式及响应性评审</w:t>
            </w:r>
          </w:p>
          <w:p>
            <w:pPr>
              <w:pStyle w:val="15"/>
              <w:adjustRightInd w:val="0"/>
              <w:snapToGrid w:val="0"/>
              <w:jc w:val="center"/>
              <w:rPr>
                <w:rFonts w:hAnsi="宋体" w:cs="Times New Roman"/>
                <w:bCs/>
              </w:rPr>
            </w:pPr>
            <w:r>
              <w:rPr>
                <w:rFonts w:hint="eastAsia" w:hAnsi="宋体" w:cs="Times New Roman"/>
                <w:bCs/>
              </w:rPr>
              <w:t>标准</w:t>
            </w:r>
          </w:p>
        </w:tc>
        <w:tc>
          <w:tcPr>
            <w:tcW w:w="7938" w:type="dxa"/>
            <w:gridSpan w:val="3"/>
            <w:vAlign w:val="center"/>
          </w:tcPr>
          <w:p>
            <w:pPr>
              <w:pStyle w:val="15"/>
              <w:adjustRightInd w:val="0"/>
              <w:snapToGrid w:val="0"/>
              <w:spacing w:line="360" w:lineRule="auto"/>
              <w:rPr>
                <w:rFonts w:hAnsi="宋体"/>
              </w:rPr>
            </w:pPr>
            <w:r>
              <w:rPr>
                <w:rFonts w:hint="eastAsia" w:hAnsi="宋体"/>
                <w:b/>
              </w:rPr>
              <w:t>（1）投标文件按照比选文件规定的格式、内容填写，字迹清晰可辨；</w:t>
            </w:r>
          </w:p>
          <w:p>
            <w:pPr>
              <w:pStyle w:val="15"/>
              <w:adjustRightInd w:val="0"/>
              <w:snapToGrid w:val="0"/>
              <w:spacing w:line="360" w:lineRule="auto"/>
              <w:rPr>
                <w:rFonts w:hAnsi="宋体"/>
                <w:b/>
              </w:rPr>
            </w:pPr>
            <w:r>
              <w:rPr>
                <w:rFonts w:hint="eastAsia" w:hAnsi="宋体"/>
                <w:b/>
              </w:rPr>
              <w:t>（2）投标文件投标函要求必须有法定代表人或其委托代理人签字，并加盖投标人单位公章；</w:t>
            </w:r>
          </w:p>
          <w:p>
            <w:pPr>
              <w:pStyle w:val="15"/>
              <w:adjustRightInd w:val="0"/>
              <w:snapToGrid w:val="0"/>
              <w:spacing w:line="360" w:lineRule="auto"/>
              <w:rPr>
                <w:rFonts w:hAnsi="宋体"/>
                <w:b/>
              </w:rPr>
            </w:pPr>
            <w:r>
              <w:rPr>
                <w:rFonts w:hint="eastAsia" w:hAnsi="宋体"/>
                <w:b/>
              </w:rPr>
              <w:t>（3）投标人法定代表人若授权代理人签署投标文件，需提交附有法定代表人身份证明的授权书并符合下列要求：</w:t>
            </w:r>
          </w:p>
          <w:p>
            <w:pPr>
              <w:pStyle w:val="15"/>
              <w:adjustRightInd w:val="0"/>
              <w:snapToGrid w:val="0"/>
              <w:spacing w:line="360" w:lineRule="auto"/>
              <w:ind w:firstLine="210" w:firstLineChars="100"/>
              <w:rPr>
                <w:rFonts w:hAnsi="宋体"/>
              </w:rPr>
            </w:pPr>
            <w:r>
              <w:rPr>
                <w:rFonts w:hint="eastAsia" w:hAnsi="宋体"/>
              </w:rPr>
              <w:t>a.授权人和被授权人均在授权书上签名,未使用印章、签名章或其他电子制版签名；</w:t>
            </w:r>
          </w:p>
          <w:p>
            <w:pPr>
              <w:pStyle w:val="15"/>
              <w:adjustRightInd w:val="0"/>
              <w:snapToGrid w:val="0"/>
              <w:spacing w:line="360" w:lineRule="auto"/>
              <w:ind w:firstLine="210" w:firstLineChars="100"/>
              <w:rPr>
                <w:rFonts w:hAnsi="宋体"/>
              </w:rPr>
            </w:pPr>
            <w:r>
              <w:rPr>
                <w:rFonts w:hint="eastAsia" w:hAnsi="宋体"/>
              </w:rPr>
              <w:t>b.提供了法定代表人身份证明，法定代表人未使用印章、签名章或其他电子制版签名；</w:t>
            </w:r>
          </w:p>
          <w:p>
            <w:pPr>
              <w:pStyle w:val="15"/>
              <w:adjustRightInd w:val="0"/>
              <w:snapToGrid w:val="0"/>
              <w:spacing w:line="360" w:lineRule="auto"/>
              <w:rPr>
                <w:rFonts w:hAnsi="宋体"/>
              </w:rPr>
            </w:pPr>
            <w:r>
              <w:rPr>
                <w:rFonts w:hint="eastAsia" w:hAnsi="宋体"/>
                <w:b/>
              </w:rPr>
              <w:t>（4）投标人法定代表人若亲自签署投标文件，提供了法定代表人身份证明</w:t>
            </w:r>
            <w:r>
              <w:rPr>
                <w:rFonts w:hint="eastAsia" w:hAnsi="宋体"/>
              </w:rPr>
              <w:t>：</w:t>
            </w:r>
          </w:p>
          <w:p>
            <w:pPr>
              <w:pStyle w:val="15"/>
              <w:adjustRightInd w:val="0"/>
              <w:snapToGrid w:val="0"/>
              <w:spacing w:line="360" w:lineRule="auto"/>
              <w:ind w:firstLine="210" w:firstLineChars="100"/>
              <w:rPr>
                <w:rFonts w:hAnsi="宋体"/>
              </w:rPr>
            </w:pPr>
            <w:r>
              <w:rPr>
                <w:rFonts w:hint="eastAsia" w:hAnsi="宋体"/>
              </w:rPr>
              <w:t>a.法定代表人未使用印章、签名章或其他电子制版签名；</w:t>
            </w:r>
          </w:p>
          <w:p>
            <w:pPr>
              <w:pStyle w:val="15"/>
              <w:adjustRightInd w:val="0"/>
              <w:snapToGrid w:val="0"/>
              <w:spacing w:line="360" w:lineRule="auto"/>
              <w:rPr>
                <w:rFonts w:hAnsi="宋体"/>
                <w:b/>
              </w:rPr>
            </w:pPr>
            <w:r>
              <w:rPr>
                <w:rFonts w:hint="eastAsia" w:hAnsi="宋体"/>
                <w:b/>
              </w:rPr>
              <w:t>（5）投标文件载明的比选项目周期不得短于比选文件规定的周期；</w:t>
            </w:r>
          </w:p>
          <w:p>
            <w:pPr>
              <w:pStyle w:val="15"/>
              <w:adjustRightInd w:val="0"/>
              <w:snapToGrid w:val="0"/>
              <w:spacing w:line="360" w:lineRule="auto"/>
              <w:rPr>
                <w:rFonts w:hAnsi="宋体"/>
                <w:b/>
              </w:rPr>
            </w:pPr>
            <w:r>
              <w:rPr>
                <w:rFonts w:hint="eastAsia" w:hAnsi="宋体"/>
                <w:b/>
              </w:rPr>
              <w:t>（6）投标文件不应附有比选人不能接受的其他条件；</w:t>
            </w:r>
          </w:p>
          <w:p>
            <w:pPr>
              <w:pStyle w:val="15"/>
              <w:adjustRightInd w:val="0"/>
              <w:snapToGrid w:val="0"/>
              <w:spacing w:line="360" w:lineRule="auto"/>
              <w:rPr>
                <w:rFonts w:hAnsi="宋体"/>
                <w:b/>
              </w:rPr>
            </w:pPr>
            <w:r>
              <w:rPr>
                <w:rFonts w:hint="eastAsia" w:hAnsi="宋体"/>
                <w:b/>
              </w:rPr>
              <w:t>（7）投标人在第一信封中没有投标报价金额；</w:t>
            </w:r>
          </w:p>
          <w:p>
            <w:pPr>
              <w:pStyle w:val="15"/>
              <w:adjustRightInd w:val="0"/>
              <w:snapToGrid w:val="0"/>
              <w:spacing w:line="360" w:lineRule="auto"/>
              <w:rPr>
                <w:rFonts w:hAnsi="宋体"/>
              </w:rPr>
            </w:pPr>
            <w:r>
              <w:rPr>
                <w:rFonts w:hint="eastAsia" w:hAnsi="宋体"/>
                <w:b/>
              </w:rPr>
              <w:t>（8）投标文件正、副本份数满足比选文件规定。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4" w:hRule="atLeast"/>
        </w:trPr>
        <w:tc>
          <w:tcPr>
            <w:tcW w:w="1134" w:type="dxa"/>
            <w:vAlign w:val="center"/>
          </w:tcPr>
          <w:p>
            <w:pPr>
              <w:pStyle w:val="15"/>
              <w:adjustRightInd w:val="0"/>
              <w:snapToGrid w:val="0"/>
              <w:spacing w:line="276" w:lineRule="auto"/>
              <w:jc w:val="center"/>
              <w:rPr>
                <w:rFonts w:hAnsi="宋体" w:cs="Times New Roman"/>
              </w:rPr>
            </w:pPr>
            <w:r>
              <w:rPr>
                <w:rFonts w:hint="eastAsia" w:hAnsi="宋体" w:cs="Times New Roman"/>
              </w:rPr>
              <w:t>2</w:t>
            </w:r>
          </w:p>
          <w:p>
            <w:pPr>
              <w:pStyle w:val="15"/>
              <w:adjustRightInd w:val="0"/>
              <w:snapToGrid w:val="0"/>
              <w:spacing w:line="276" w:lineRule="auto"/>
              <w:jc w:val="center"/>
              <w:rPr>
                <w:rFonts w:hAnsi="宋体" w:cs="Times New Roman"/>
              </w:rPr>
            </w:pPr>
            <w:r>
              <w:rPr>
                <w:rFonts w:ascii="Times New Roman" w:hAnsi="Times New Roman" w:cs="Times New Roman"/>
              </w:rPr>
              <w:t> </w:t>
            </w:r>
            <w:r>
              <w:rPr>
                <w:rFonts w:hint="eastAsia" w:hAnsi="宋体"/>
                <w:kern w:val="0"/>
              </w:rPr>
              <w:t>第一信封</w:t>
            </w:r>
            <w:r>
              <w:rPr>
                <w:rFonts w:hint="eastAsia" w:hAnsi="宋体" w:cs="Times New Roman"/>
              </w:rPr>
              <w:t>资格审查</w:t>
            </w:r>
          </w:p>
          <w:p>
            <w:pPr>
              <w:pStyle w:val="15"/>
              <w:adjustRightInd w:val="0"/>
              <w:snapToGrid w:val="0"/>
              <w:spacing w:line="276" w:lineRule="auto"/>
              <w:jc w:val="center"/>
              <w:rPr>
                <w:rFonts w:hAnsi="宋体" w:cs="Times New Roman"/>
              </w:rPr>
            </w:pPr>
            <w:r>
              <w:rPr>
                <w:rFonts w:hint="eastAsia" w:hAnsi="宋体" w:cs="Times New Roman"/>
              </w:rPr>
              <w:t>标准</w:t>
            </w:r>
          </w:p>
        </w:tc>
        <w:tc>
          <w:tcPr>
            <w:tcW w:w="7938" w:type="dxa"/>
            <w:gridSpan w:val="3"/>
            <w:vAlign w:val="center"/>
          </w:tcPr>
          <w:p>
            <w:pPr>
              <w:pStyle w:val="15"/>
              <w:adjustRightInd w:val="0"/>
              <w:snapToGrid w:val="0"/>
              <w:spacing w:line="360" w:lineRule="auto"/>
              <w:jc w:val="left"/>
              <w:rPr>
                <w:rFonts w:hAnsi="宋体" w:cs="Times New Roman"/>
              </w:rPr>
            </w:pPr>
            <w:r>
              <w:rPr>
                <w:rFonts w:hint="eastAsia" w:hAnsi="宋体" w:cs="Times New Roman"/>
              </w:rPr>
              <w:t>投标人的资格条件符合</w:t>
            </w:r>
            <w:r>
              <w:rPr>
                <w:rFonts w:hint="eastAsia" w:hAnsi="宋体"/>
              </w:rPr>
              <w:t>比选公告中规定的投标人资格条件</w:t>
            </w:r>
            <w:r>
              <w:rPr>
                <w:rFonts w:hint="eastAsia" w:hAnsi="宋体" w:cs="Times New Roma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134" w:type="dxa"/>
            <w:vMerge w:val="restart"/>
            <w:vAlign w:val="center"/>
          </w:tcPr>
          <w:p>
            <w:pPr>
              <w:pStyle w:val="15"/>
              <w:adjustRightInd w:val="0"/>
              <w:snapToGrid w:val="0"/>
              <w:jc w:val="center"/>
              <w:rPr>
                <w:rFonts w:ascii="Times New Roman" w:hAnsi="Times New Roman" w:cs="Times New Roman"/>
              </w:rPr>
            </w:pPr>
            <w:r>
              <w:rPr>
                <w:rFonts w:hint="eastAsia" w:hAnsi="宋体"/>
              </w:rPr>
              <w:t>3</w:t>
            </w:r>
            <w:r>
              <w:rPr>
                <w:rFonts w:ascii="Times New Roman" w:hAnsi="Times New Roman" w:cs="Times New Roman"/>
              </w:rPr>
              <w:t xml:space="preserve">  </w:t>
            </w:r>
          </w:p>
          <w:p>
            <w:pPr>
              <w:pStyle w:val="15"/>
              <w:adjustRightInd w:val="0"/>
              <w:snapToGrid w:val="0"/>
              <w:jc w:val="center"/>
              <w:rPr>
                <w:rFonts w:hAnsi="宋体"/>
              </w:rPr>
            </w:pPr>
            <w:r>
              <w:rPr>
                <w:rFonts w:hint="eastAsia" w:hAnsi="宋体"/>
                <w:kern w:val="0"/>
              </w:rPr>
              <w:t>第一信封</w:t>
            </w:r>
            <w:r>
              <w:rPr>
                <w:rFonts w:hint="eastAsia" w:hAnsi="宋体" w:cs="Arial"/>
                <w:kern w:val="0"/>
              </w:rPr>
              <w:t>详细评审</w:t>
            </w:r>
            <w:r>
              <w:rPr>
                <w:rFonts w:ascii="Times New Roman" w:hAnsi="Times New Roman" w:cs="Times New Roman"/>
              </w:rPr>
              <w:t>标准</w:t>
            </w:r>
          </w:p>
        </w:tc>
        <w:tc>
          <w:tcPr>
            <w:tcW w:w="7938" w:type="dxa"/>
            <w:gridSpan w:val="3"/>
            <w:vAlign w:val="center"/>
          </w:tcPr>
          <w:p>
            <w:pPr>
              <w:pStyle w:val="15"/>
              <w:adjustRightInd w:val="0"/>
              <w:snapToGrid w:val="0"/>
              <w:jc w:val="center"/>
              <w:rPr>
                <w:rFonts w:hAnsi="宋体" w:cs="Times New Roman"/>
              </w:rPr>
            </w:pPr>
            <w:r>
              <w:rPr>
                <w:rFonts w:hint="eastAsia" w:hAnsi="宋体" w:cs="Times New Roman"/>
                <w:b/>
              </w:rPr>
              <w:t>评分因素与权重分值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58" w:hRule="atLeast"/>
        </w:trPr>
        <w:tc>
          <w:tcPr>
            <w:tcW w:w="1134" w:type="dxa"/>
            <w:vMerge w:val="continue"/>
            <w:vAlign w:val="center"/>
          </w:tcPr>
          <w:p>
            <w:pPr>
              <w:pStyle w:val="15"/>
              <w:adjustRightInd w:val="0"/>
              <w:snapToGrid w:val="0"/>
              <w:jc w:val="center"/>
              <w:rPr>
                <w:rFonts w:hAnsi="宋体"/>
              </w:rPr>
            </w:pPr>
          </w:p>
        </w:tc>
        <w:tc>
          <w:tcPr>
            <w:tcW w:w="1276" w:type="dxa"/>
            <w:vAlign w:val="center"/>
          </w:tcPr>
          <w:p>
            <w:pPr>
              <w:pStyle w:val="15"/>
              <w:adjustRightInd w:val="0"/>
              <w:snapToGrid w:val="0"/>
              <w:spacing w:line="360" w:lineRule="exact"/>
              <w:jc w:val="center"/>
              <w:rPr>
                <w:rFonts w:hAnsi="宋体" w:cs="Times New Roman"/>
              </w:rPr>
            </w:pPr>
            <w:r>
              <w:rPr>
                <w:rFonts w:hint="eastAsia" w:hAnsi="宋体" w:cs="Times New Roman"/>
              </w:rPr>
              <w:t>评分因素</w:t>
            </w:r>
          </w:p>
        </w:tc>
        <w:tc>
          <w:tcPr>
            <w:tcW w:w="6662" w:type="dxa"/>
            <w:gridSpan w:val="2"/>
            <w:vAlign w:val="center"/>
          </w:tcPr>
          <w:p>
            <w:pPr>
              <w:pStyle w:val="15"/>
              <w:adjustRightInd w:val="0"/>
              <w:snapToGrid w:val="0"/>
              <w:spacing w:line="360" w:lineRule="exact"/>
              <w:jc w:val="center"/>
              <w:rPr>
                <w:rFonts w:hAnsi="宋体" w:cs="Times New Roman"/>
              </w:rPr>
            </w:pPr>
            <w:r>
              <w:rPr>
                <w:rFonts w:hint="eastAsia" w:hAnsi="宋体" w:cs="Times New Roma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59" w:hRule="atLeast"/>
        </w:trPr>
        <w:tc>
          <w:tcPr>
            <w:tcW w:w="1134" w:type="dxa"/>
            <w:vMerge w:val="continue"/>
            <w:vAlign w:val="center"/>
          </w:tcPr>
          <w:p>
            <w:pPr>
              <w:pStyle w:val="15"/>
              <w:adjustRightInd w:val="0"/>
              <w:snapToGrid w:val="0"/>
              <w:jc w:val="center"/>
              <w:rPr>
                <w:rFonts w:hAnsi="宋体"/>
              </w:rPr>
            </w:pPr>
          </w:p>
        </w:tc>
        <w:tc>
          <w:tcPr>
            <w:tcW w:w="1276" w:type="dxa"/>
            <w:vMerge w:val="restart"/>
            <w:vAlign w:val="center"/>
          </w:tcPr>
          <w:p>
            <w:pPr>
              <w:pStyle w:val="15"/>
              <w:jc w:val="center"/>
              <w:rPr>
                <w:rFonts w:hAnsi="宋体"/>
              </w:rPr>
            </w:pPr>
            <w:r>
              <w:rPr>
                <w:rFonts w:hint="eastAsia" w:hAnsi="宋体"/>
              </w:rPr>
              <w:t>企业硬实力</w:t>
            </w:r>
          </w:p>
          <w:p>
            <w:pPr>
              <w:pStyle w:val="15"/>
              <w:adjustRightInd w:val="0"/>
              <w:snapToGrid w:val="0"/>
              <w:spacing w:line="360" w:lineRule="exact"/>
              <w:jc w:val="center"/>
              <w:rPr>
                <w:rFonts w:hAnsi="宋体"/>
              </w:rPr>
            </w:pPr>
            <w:r>
              <w:rPr>
                <w:rFonts w:hint="eastAsia" w:hAnsi="宋体"/>
              </w:rPr>
              <w:t>（40分）</w:t>
            </w:r>
          </w:p>
        </w:tc>
        <w:tc>
          <w:tcPr>
            <w:tcW w:w="1134" w:type="dxa"/>
            <w:vAlign w:val="center"/>
          </w:tcPr>
          <w:p>
            <w:pPr>
              <w:pStyle w:val="15"/>
              <w:adjustRightInd w:val="0"/>
              <w:snapToGrid w:val="0"/>
              <w:spacing w:line="340" w:lineRule="exact"/>
              <w:jc w:val="center"/>
              <w:rPr>
                <w:rFonts w:hAnsi="宋体"/>
                <w:b/>
              </w:rPr>
            </w:pPr>
            <w:r>
              <w:rPr>
                <w:rFonts w:hint="eastAsia" w:hAnsi="宋体" w:cs="Times New Roman"/>
              </w:rPr>
              <w:t>质量与技术认证（10分）</w:t>
            </w:r>
          </w:p>
        </w:tc>
        <w:tc>
          <w:tcPr>
            <w:tcW w:w="5528" w:type="dxa"/>
            <w:vAlign w:val="center"/>
          </w:tcPr>
          <w:p>
            <w:pPr>
              <w:jc w:val="left"/>
              <w:rPr>
                <w:rFonts w:ascii="宋体" w:hAnsi="宋体" w:eastAsia="宋体" w:cs="宋体"/>
                <w:sz w:val="20"/>
                <w:szCs w:val="20"/>
              </w:rPr>
            </w:pPr>
            <w:r>
              <w:rPr>
                <w:rFonts w:hint="eastAsia" w:ascii="宋体" w:hAnsi="宋体" w:eastAsia="宋体" w:cs="宋体"/>
                <w:sz w:val="20"/>
                <w:szCs w:val="20"/>
              </w:rPr>
              <w:t>（1）比选申请人满足比选申请须知表第6款第（2）条要求，得6分。</w:t>
            </w:r>
          </w:p>
          <w:p>
            <w:pPr>
              <w:jc w:val="left"/>
              <w:rPr>
                <w:rFonts w:hAnsi="宋体"/>
              </w:rPr>
            </w:pPr>
            <w:r>
              <w:rPr>
                <w:rFonts w:hint="eastAsia" w:ascii="宋体" w:hAnsi="宋体" w:eastAsia="宋体" w:cs="宋体"/>
                <w:sz w:val="20"/>
                <w:szCs w:val="20"/>
              </w:rPr>
              <w:t>（2）比选申请人获高新技术企业认定，加4分，本项最高得4分。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986" w:hRule="atLeast"/>
        </w:trPr>
        <w:tc>
          <w:tcPr>
            <w:tcW w:w="1134" w:type="dxa"/>
            <w:vMerge w:val="continue"/>
            <w:vAlign w:val="center"/>
          </w:tcPr>
          <w:p>
            <w:pPr>
              <w:pStyle w:val="15"/>
              <w:adjustRightInd w:val="0"/>
              <w:snapToGrid w:val="0"/>
              <w:jc w:val="center"/>
              <w:rPr>
                <w:rFonts w:hAnsi="宋体"/>
              </w:rPr>
            </w:pPr>
          </w:p>
        </w:tc>
        <w:tc>
          <w:tcPr>
            <w:tcW w:w="1276" w:type="dxa"/>
            <w:vMerge w:val="continue"/>
            <w:vAlign w:val="center"/>
          </w:tcPr>
          <w:p>
            <w:pPr>
              <w:pStyle w:val="15"/>
              <w:jc w:val="center"/>
              <w:rPr>
                <w:rFonts w:hAnsi="宋体"/>
              </w:rPr>
            </w:pPr>
          </w:p>
        </w:tc>
        <w:tc>
          <w:tcPr>
            <w:tcW w:w="1134" w:type="dxa"/>
            <w:vAlign w:val="center"/>
          </w:tcPr>
          <w:p>
            <w:pPr>
              <w:pStyle w:val="15"/>
              <w:adjustRightInd w:val="0"/>
              <w:snapToGrid w:val="0"/>
              <w:spacing w:line="340" w:lineRule="exact"/>
              <w:jc w:val="center"/>
              <w:rPr>
                <w:rFonts w:hAnsi="宋体" w:cs="Times New Roman"/>
              </w:rPr>
            </w:pPr>
            <w:r>
              <w:rPr>
                <w:rFonts w:hint="eastAsia" w:hAnsi="宋体" w:cs="Times New Roman"/>
              </w:rPr>
              <w:t>项目业绩（30分）</w:t>
            </w:r>
          </w:p>
        </w:tc>
        <w:tc>
          <w:tcPr>
            <w:tcW w:w="5528" w:type="dxa"/>
            <w:vAlign w:val="center"/>
          </w:tcPr>
          <w:p>
            <w:pPr>
              <w:jc w:val="left"/>
              <w:rPr>
                <w:rFonts w:ascii="宋体" w:hAnsi="宋体" w:eastAsia="宋体" w:cs="宋体"/>
                <w:sz w:val="20"/>
                <w:szCs w:val="20"/>
              </w:rPr>
            </w:pPr>
            <w:r>
              <w:rPr>
                <w:rFonts w:hint="eastAsia" w:ascii="宋体" w:hAnsi="宋体" w:eastAsia="宋体" w:cs="宋体"/>
                <w:sz w:val="20"/>
                <w:szCs w:val="20"/>
              </w:rPr>
              <w:t>（1）比选申请人满足比选申请须知表第6款第（3条），得18分；扣除基本业绩后每增加1个高速公路安全技术咨询服务项目得2分，本项最高得22分。</w:t>
            </w:r>
          </w:p>
          <w:p>
            <w:pPr>
              <w:jc w:val="left"/>
              <w:rPr>
                <w:rFonts w:ascii="仿宋_GB2312" w:hAnsi="仿宋_GB2312" w:eastAsia="仿宋_GB2312" w:cs="仿宋_GB2312"/>
              </w:rPr>
            </w:pPr>
            <w:r>
              <w:rPr>
                <w:rFonts w:hint="eastAsia" w:ascii="宋体" w:hAnsi="宋体" w:eastAsia="宋体" w:cs="宋体"/>
                <w:sz w:val="20"/>
                <w:szCs w:val="20"/>
              </w:rPr>
              <w:t>（2）比选申请人每参加完成1次安全类国家标准或行业标准编撰工作得2分，最高得8分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30" w:hRule="atLeast"/>
        </w:trPr>
        <w:tc>
          <w:tcPr>
            <w:tcW w:w="1134" w:type="dxa"/>
            <w:vMerge w:val="continue"/>
            <w:vAlign w:val="center"/>
          </w:tcPr>
          <w:p>
            <w:pPr>
              <w:pStyle w:val="15"/>
              <w:adjustRightInd w:val="0"/>
              <w:snapToGrid w:val="0"/>
              <w:jc w:val="center"/>
              <w:rPr>
                <w:rFonts w:hAnsi="宋体"/>
              </w:rPr>
            </w:pPr>
          </w:p>
        </w:tc>
        <w:tc>
          <w:tcPr>
            <w:tcW w:w="1276" w:type="dxa"/>
            <w:vMerge w:val="restart"/>
            <w:vAlign w:val="center"/>
          </w:tcPr>
          <w:p>
            <w:pPr>
              <w:pStyle w:val="15"/>
              <w:adjustRightInd w:val="0"/>
              <w:snapToGrid w:val="0"/>
              <w:spacing w:line="360" w:lineRule="exact"/>
              <w:jc w:val="center"/>
              <w:rPr>
                <w:rFonts w:hAnsi="宋体"/>
              </w:rPr>
            </w:pPr>
            <w:r>
              <w:rPr>
                <w:rFonts w:hint="eastAsia" w:hAnsi="宋体"/>
              </w:rPr>
              <w:t>本项目人员配置（20分）</w:t>
            </w:r>
          </w:p>
        </w:tc>
        <w:tc>
          <w:tcPr>
            <w:tcW w:w="1134" w:type="dxa"/>
            <w:vAlign w:val="center"/>
          </w:tcPr>
          <w:p>
            <w:pPr>
              <w:jc w:val="left"/>
              <w:rPr>
                <w:rFonts w:ascii="仿宋_GB2312" w:hAnsi="仿宋_GB2312" w:eastAsia="仿宋_GB2312" w:cs="仿宋_GB2312"/>
                <w:spacing w:val="-3"/>
              </w:rPr>
            </w:pPr>
            <w:r>
              <w:rPr>
                <w:rFonts w:hint="eastAsia" w:ascii="宋体" w:hAnsi="宋体" w:eastAsia="宋体" w:cs="宋体"/>
                <w:sz w:val="20"/>
                <w:szCs w:val="20"/>
              </w:rPr>
              <w:t>项目负责人（15分）</w:t>
            </w:r>
          </w:p>
        </w:tc>
        <w:tc>
          <w:tcPr>
            <w:tcW w:w="5528" w:type="dxa"/>
            <w:vAlign w:val="center"/>
          </w:tcPr>
          <w:p>
            <w:pPr>
              <w:jc w:val="left"/>
              <w:rPr>
                <w:rFonts w:ascii="宋体" w:hAnsi="宋体" w:eastAsia="宋体" w:cs="宋体"/>
                <w:sz w:val="20"/>
                <w:szCs w:val="20"/>
              </w:rPr>
            </w:pPr>
            <w:r>
              <w:rPr>
                <w:rFonts w:hint="eastAsia" w:ascii="宋体" w:hAnsi="宋体" w:eastAsia="宋体" w:cs="宋体"/>
                <w:sz w:val="20"/>
                <w:szCs w:val="20"/>
              </w:rPr>
              <w:t>1.满足比选申请须知表第6款第（4）条，得9分；</w:t>
            </w:r>
          </w:p>
          <w:p>
            <w:pPr>
              <w:jc w:val="left"/>
              <w:rPr>
                <w:rFonts w:ascii="宋体" w:hAnsi="宋体" w:eastAsia="宋体" w:cs="宋体"/>
                <w:sz w:val="20"/>
                <w:szCs w:val="20"/>
              </w:rPr>
            </w:pPr>
            <w:r>
              <w:rPr>
                <w:rFonts w:hint="eastAsia" w:ascii="宋体" w:hAnsi="宋体" w:eastAsia="宋体" w:cs="宋体"/>
                <w:sz w:val="20"/>
                <w:szCs w:val="20"/>
              </w:rPr>
              <w:t>2.具有高级工程师专业技术职称的，加2分；</w:t>
            </w:r>
          </w:p>
          <w:p>
            <w:pPr>
              <w:jc w:val="left"/>
              <w:rPr>
                <w:rFonts w:ascii="宋体" w:hAnsi="宋体" w:eastAsia="宋体" w:cs="宋体"/>
                <w:sz w:val="20"/>
                <w:szCs w:val="20"/>
              </w:rPr>
            </w:pPr>
            <w:r>
              <w:rPr>
                <w:rFonts w:hint="eastAsia" w:ascii="宋体" w:hAnsi="宋体" w:eastAsia="宋体" w:cs="宋体"/>
                <w:sz w:val="20"/>
                <w:szCs w:val="20"/>
              </w:rPr>
              <w:t>3.参与安全类国家标准（GB）或安全生产行业标准（AQ）制（修）定并已发布生效实施的，加2分。</w:t>
            </w:r>
          </w:p>
          <w:p>
            <w:pPr>
              <w:jc w:val="left"/>
              <w:rPr>
                <w:rFonts w:ascii="宋体" w:hAnsi="宋体" w:eastAsia="宋体" w:cs="宋体"/>
                <w:sz w:val="20"/>
                <w:szCs w:val="20"/>
              </w:rPr>
            </w:pPr>
            <w:r>
              <w:rPr>
                <w:rFonts w:hint="eastAsia" w:ascii="宋体" w:hAnsi="宋体" w:eastAsia="宋体" w:cs="宋体"/>
                <w:sz w:val="20"/>
                <w:szCs w:val="20"/>
              </w:rPr>
              <w:t>4.牵头负责完成过2个及以上高速公路安全生产相关咨询服务项目，加2分。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560" w:hRule="atLeast"/>
        </w:trPr>
        <w:tc>
          <w:tcPr>
            <w:tcW w:w="1134" w:type="dxa"/>
            <w:vMerge w:val="continue"/>
            <w:vAlign w:val="center"/>
          </w:tcPr>
          <w:p>
            <w:pPr>
              <w:pStyle w:val="15"/>
              <w:adjustRightInd w:val="0"/>
              <w:snapToGrid w:val="0"/>
              <w:jc w:val="center"/>
              <w:rPr>
                <w:rFonts w:hAnsi="宋体"/>
              </w:rPr>
            </w:pPr>
          </w:p>
        </w:tc>
        <w:tc>
          <w:tcPr>
            <w:tcW w:w="1276" w:type="dxa"/>
            <w:vMerge w:val="continue"/>
            <w:vAlign w:val="center"/>
          </w:tcPr>
          <w:p>
            <w:pPr>
              <w:pStyle w:val="15"/>
              <w:adjustRightInd w:val="0"/>
              <w:snapToGrid w:val="0"/>
              <w:spacing w:line="360" w:lineRule="exact"/>
              <w:jc w:val="center"/>
              <w:rPr>
                <w:rFonts w:hAnsi="宋体"/>
              </w:rPr>
            </w:pPr>
          </w:p>
        </w:tc>
        <w:tc>
          <w:tcPr>
            <w:tcW w:w="1134" w:type="dxa"/>
            <w:vAlign w:val="center"/>
          </w:tcPr>
          <w:p>
            <w:pPr>
              <w:jc w:val="left"/>
              <w:rPr>
                <w:rFonts w:ascii="宋体" w:hAnsi="宋体" w:eastAsia="宋体" w:cs="宋体"/>
                <w:sz w:val="20"/>
                <w:szCs w:val="20"/>
              </w:rPr>
            </w:pPr>
            <w:r>
              <w:rPr>
                <w:rFonts w:hint="eastAsia" w:ascii="宋体" w:hAnsi="宋体" w:eastAsia="宋体" w:cs="宋体"/>
                <w:sz w:val="20"/>
                <w:szCs w:val="20"/>
              </w:rPr>
              <w:t>技术负责人（5分）</w:t>
            </w:r>
          </w:p>
        </w:tc>
        <w:tc>
          <w:tcPr>
            <w:tcW w:w="5528" w:type="dxa"/>
            <w:vAlign w:val="center"/>
          </w:tcPr>
          <w:p>
            <w:pPr>
              <w:jc w:val="left"/>
            </w:pPr>
            <w:r>
              <w:rPr>
                <w:rFonts w:hint="eastAsia" w:ascii="宋体" w:hAnsi="宋体" w:eastAsia="宋体" w:cs="宋体"/>
                <w:sz w:val="20"/>
                <w:szCs w:val="20"/>
              </w:rPr>
              <w:t>1.</w:t>
            </w:r>
            <w:r>
              <w:rPr>
                <w:rFonts w:hint="eastAsia"/>
              </w:rPr>
              <w:t>满足比选申请须知表第6款第（4）条，得3分；</w:t>
            </w:r>
          </w:p>
          <w:p>
            <w:pPr>
              <w:pStyle w:val="2"/>
              <w:ind w:left="0" w:leftChars="0" w:firstLine="0" w:firstLineChars="0"/>
            </w:pPr>
            <w:r>
              <w:rPr>
                <w:rFonts w:hint="eastAsia" w:ascii="宋体" w:hAnsi="宋体" w:eastAsia="宋体" w:cs="宋体"/>
                <w:sz w:val="20"/>
                <w:szCs w:val="20"/>
              </w:rPr>
              <w:t>2.参与安全类国家标准（GB）或安全生产行业标准（AQ）制（修）定并已发布生效实施的，加2分。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75" w:hRule="atLeast"/>
        </w:trPr>
        <w:tc>
          <w:tcPr>
            <w:tcW w:w="1134" w:type="dxa"/>
            <w:vMerge w:val="continue"/>
            <w:vAlign w:val="center"/>
          </w:tcPr>
          <w:p>
            <w:pPr>
              <w:pStyle w:val="15"/>
              <w:adjustRightInd w:val="0"/>
              <w:snapToGrid w:val="0"/>
              <w:jc w:val="center"/>
              <w:rPr>
                <w:rFonts w:hAnsi="宋体"/>
              </w:rPr>
            </w:pPr>
          </w:p>
        </w:tc>
        <w:tc>
          <w:tcPr>
            <w:tcW w:w="1276" w:type="dxa"/>
            <w:vMerge w:val="restart"/>
            <w:vAlign w:val="center"/>
          </w:tcPr>
          <w:p>
            <w:pPr>
              <w:pStyle w:val="15"/>
              <w:adjustRightInd w:val="0"/>
              <w:snapToGrid w:val="0"/>
              <w:spacing w:line="360" w:lineRule="exact"/>
              <w:jc w:val="center"/>
              <w:rPr>
                <w:rFonts w:hAnsi="宋体"/>
              </w:rPr>
            </w:pPr>
            <w:r>
              <w:rPr>
                <w:rFonts w:hint="eastAsia" w:hAnsi="宋体"/>
              </w:rPr>
              <w:t>咨询服务方案</w:t>
            </w:r>
          </w:p>
          <w:p>
            <w:pPr>
              <w:pStyle w:val="15"/>
              <w:jc w:val="center"/>
              <w:rPr>
                <w:rFonts w:hAnsi="宋体"/>
              </w:rPr>
            </w:pPr>
            <w:r>
              <w:rPr>
                <w:rFonts w:hint="eastAsia" w:hAnsi="宋体"/>
              </w:rPr>
              <w:t>（30分）</w:t>
            </w:r>
          </w:p>
        </w:tc>
        <w:tc>
          <w:tcPr>
            <w:tcW w:w="1134" w:type="dxa"/>
            <w:vAlign w:val="center"/>
          </w:tcPr>
          <w:p>
            <w:pPr>
              <w:snapToGrid w:val="0"/>
              <w:spacing w:line="360" w:lineRule="exact"/>
              <w:rPr>
                <w:rFonts w:ascii="仿宋_GB2312" w:hAnsi="仿宋_GB2312" w:eastAsia="仿宋_GB2312" w:cs="仿宋_GB2312"/>
                <w:spacing w:val="-3"/>
              </w:rPr>
            </w:pPr>
          </w:p>
          <w:p>
            <w:pPr>
              <w:tabs>
                <w:tab w:val="left" w:pos="5220"/>
                <w:tab w:val="left" w:pos="5400"/>
                <w:tab w:val="left" w:pos="5580"/>
              </w:tabs>
              <w:spacing w:line="360" w:lineRule="auto"/>
              <w:jc w:val="left"/>
            </w:pPr>
            <w:r>
              <w:rPr>
                <w:rFonts w:hint="eastAsia"/>
              </w:rPr>
              <w:t>工作思路与重点（15分）</w:t>
            </w:r>
          </w:p>
        </w:tc>
        <w:tc>
          <w:tcPr>
            <w:tcW w:w="5528" w:type="dxa"/>
            <w:vAlign w:val="center"/>
          </w:tcPr>
          <w:p>
            <w:pPr>
              <w:jc w:val="left"/>
              <w:rPr>
                <w:rFonts w:ascii="宋体" w:hAnsi="宋体" w:eastAsia="宋体" w:cs="宋体"/>
                <w:sz w:val="20"/>
                <w:szCs w:val="20"/>
              </w:rPr>
            </w:pPr>
            <w:r>
              <w:rPr>
                <w:rFonts w:hint="eastAsia" w:ascii="宋体" w:hAnsi="宋体" w:eastAsia="宋体" w:cs="宋体"/>
                <w:sz w:val="20"/>
                <w:szCs w:val="20"/>
              </w:rPr>
              <w:t>对工作总体思路、项目需求、工作重点的理解和认识、工作内容分解等进行评审。有方案得9分，思路清晰、重点突出、进度合理得当、成果明确，优得12-15分；一般得9-12分；无此项内容得0分。</w:t>
            </w:r>
          </w:p>
          <w:p>
            <w:pPr>
              <w:tabs>
                <w:tab w:val="left" w:pos="5220"/>
                <w:tab w:val="left" w:pos="5400"/>
                <w:tab w:val="left" w:pos="5580"/>
              </w:tabs>
              <w:spacing w:line="360" w:lineRule="auto"/>
              <w:jc w:val="left"/>
              <w:rPr>
                <w:rFonts w:ascii="仿宋_GB2312" w:hAnsi="仿宋_GB2312" w:eastAsia="仿宋_GB2312" w:cs="仿宋_GB2312"/>
                <w:spacing w:val="-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27" w:hRule="atLeast"/>
        </w:trPr>
        <w:tc>
          <w:tcPr>
            <w:tcW w:w="1134" w:type="dxa"/>
            <w:vMerge w:val="continue"/>
            <w:vAlign w:val="center"/>
          </w:tcPr>
          <w:p>
            <w:pPr>
              <w:tabs>
                <w:tab w:val="left" w:pos="5220"/>
                <w:tab w:val="left" w:pos="5400"/>
                <w:tab w:val="left" w:pos="5580"/>
              </w:tabs>
              <w:spacing w:line="360" w:lineRule="auto"/>
              <w:jc w:val="left"/>
            </w:pPr>
          </w:p>
        </w:tc>
        <w:tc>
          <w:tcPr>
            <w:tcW w:w="1276" w:type="dxa"/>
            <w:vMerge w:val="continue"/>
            <w:vAlign w:val="center"/>
          </w:tcPr>
          <w:p>
            <w:pPr>
              <w:tabs>
                <w:tab w:val="left" w:pos="5220"/>
                <w:tab w:val="left" w:pos="5400"/>
                <w:tab w:val="left" w:pos="5580"/>
              </w:tabs>
              <w:spacing w:line="360" w:lineRule="auto"/>
              <w:jc w:val="left"/>
            </w:pPr>
          </w:p>
        </w:tc>
        <w:tc>
          <w:tcPr>
            <w:tcW w:w="1134" w:type="dxa"/>
            <w:vAlign w:val="center"/>
          </w:tcPr>
          <w:p>
            <w:pPr>
              <w:tabs>
                <w:tab w:val="left" w:pos="5220"/>
                <w:tab w:val="left" w:pos="5400"/>
                <w:tab w:val="left" w:pos="5580"/>
              </w:tabs>
              <w:spacing w:line="360" w:lineRule="auto"/>
              <w:jc w:val="left"/>
            </w:pPr>
            <w:r>
              <w:rPr>
                <w:rFonts w:hint="eastAsia"/>
              </w:rPr>
              <w:t>进度与实效性安排（15分）</w:t>
            </w:r>
          </w:p>
        </w:tc>
        <w:tc>
          <w:tcPr>
            <w:tcW w:w="5528" w:type="dxa"/>
            <w:vAlign w:val="center"/>
          </w:tcPr>
          <w:p>
            <w:pPr>
              <w:tabs>
                <w:tab w:val="left" w:pos="5220"/>
                <w:tab w:val="left" w:pos="5400"/>
                <w:tab w:val="left" w:pos="5580"/>
              </w:tabs>
              <w:spacing w:line="360" w:lineRule="auto"/>
              <w:jc w:val="left"/>
            </w:pPr>
            <w:r>
              <w:rPr>
                <w:rFonts w:hint="eastAsia" w:ascii="宋体" w:hAnsi="宋体" w:eastAsia="宋体" w:cs="宋体"/>
                <w:sz w:val="20"/>
                <w:szCs w:val="20"/>
              </w:rPr>
              <w:t>对工作进度安排、组织结构、服务时效性保障等进行评审。有方案得9分，保障措施具体、合理、操作性强，优得12-15分；一般得9-12分，无此项内容的得0 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82" w:hRule="atLeast"/>
        </w:trPr>
        <w:tc>
          <w:tcPr>
            <w:tcW w:w="1134" w:type="dxa"/>
            <w:vAlign w:val="center"/>
          </w:tcPr>
          <w:p>
            <w:pPr>
              <w:pStyle w:val="15"/>
              <w:adjustRightInd w:val="0"/>
              <w:snapToGrid w:val="0"/>
              <w:jc w:val="center"/>
              <w:rPr>
                <w:rFonts w:hAnsi="宋体"/>
              </w:rPr>
            </w:pPr>
            <w:r>
              <w:rPr>
                <w:rFonts w:hint="eastAsia" w:hAnsi="宋体"/>
              </w:rPr>
              <w:t>4.</w:t>
            </w:r>
            <w:r>
              <w:rPr>
                <w:rFonts w:hint="eastAsia" w:hAnsi="宋体" w:cs="Arial"/>
                <w:kern w:val="0"/>
              </w:rPr>
              <w:t>第二信封</w:t>
            </w:r>
            <w:r>
              <w:rPr>
                <w:rFonts w:hint="eastAsia" w:hAnsi="宋体"/>
                <w:bCs/>
              </w:rPr>
              <w:t>形式及响应性</w:t>
            </w:r>
            <w:r>
              <w:rPr>
                <w:rFonts w:hint="eastAsia" w:hAnsi="宋体" w:cs="Arial"/>
                <w:kern w:val="0"/>
              </w:rPr>
              <w:t>评审</w:t>
            </w:r>
            <w:r>
              <w:rPr>
                <w:rFonts w:ascii="Times New Roman" w:hAnsi="Times New Roman" w:cs="Times New Roman"/>
              </w:rPr>
              <w:t>标准</w:t>
            </w:r>
          </w:p>
        </w:tc>
        <w:tc>
          <w:tcPr>
            <w:tcW w:w="1276" w:type="dxa"/>
            <w:vAlign w:val="center"/>
          </w:tcPr>
          <w:p>
            <w:pPr>
              <w:ind w:firstLine="28"/>
              <w:jc w:val="center"/>
              <w:rPr>
                <w:rFonts w:ascii="宋体" w:hAnsi="宋体"/>
                <w:szCs w:val="21"/>
              </w:rPr>
            </w:pPr>
            <w:r>
              <w:rPr>
                <w:rFonts w:hint="eastAsia" w:ascii="宋体" w:hAnsi="宋体" w:cs="Arial"/>
                <w:kern w:val="0"/>
                <w:szCs w:val="21"/>
              </w:rPr>
              <w:t>第二信封</w:t>
            </w:r>
            <w:r>
              <w:rPr>
                <w:rFonts w:hint="eastAsia" w:hAnsi="宋体"/>
                <w:bCs/>
              </w:rPr>
              <w:t>形式</w:t>
            </w:r>
            <w:r>
              <w:rPr>
                <w:rFonts w:hint="eastAsia" w:ascii="宋体" w:hAnsi="宋体" w:cs="Arial"/>
                <w:kern w:val="0"/>
                <w:szCs w:val="21"/>
              </w:rPr>
              <w:t>评审</w:t>
            </w:r>
            <w:r>
              <w:t>标准</w:t>
            </w:r>
          </w:p>
        </w:tc>
        <w:tc>
          <w:tcPr>
            <w:tcW w:w="6662" w:type="dxa"/>
            <w:gridSpan w:val="2"/>
            <w:vAlign w:val="center"/>
          </w:tcPr>
          <w:p>
            <w:pPr>
              <w:tabs>
                <w:tab w:val="left" w:pos="5220"/>
                <w:tab w:val="left" w:pos="5400"/>
                <w:tab w:val="left" w:pos="5580"/>
              </w:tabs>
              <w:spacing w:line="360" w:lineRule="auto"/>
              <w:jc w:val="left"/>
            </w:pPr>
            <w:r>
              <w:rPr>
                <w:rFonts w:hint="eastAsia"/>
              </w:rPr>
              <w:t>（1）第二信封（报价文件）按照比选文件规定的格式、内容填写，字迹清晰可辨，内容齐全完整；</w:t>
            </w:r>
          </w:p>
          <w:p>
            <w:pPr>
              <w:tabs>
                <w:tab w:val="left" w:pos="5220"/>
                <w:tab w:val="left" w:pos="5400"/>
                <w:tab w:val="left" w:pos="5580"/>
              </w:tabs>
              <w:spacing w:line="360" w:lineRule="auto"/>
              <w:jc w:val="left"/>
            </w:pPr>
            <w:r>
              <w:rPr>
                <w:rFonts w:hint="eastAsia"/>
              </w:rPr>
              <w:t>（2）第二信封（报价文件）中法定代表人或其委托代理人的签字、投标人的单位章齐全；</w:t>
            </w:r>
          </w:p>
          <w:p>
            <w:pPr>
              <w:tabs>
                <w:tab w:val="left" w:pos="5220"/>
                <w:tab w:val="left" w:pos="5400"/>
                <w:tab w:val="left" w:pos="5580"/>
              </w:tabs>
              <w:spacing w:line="360" w:lineRule="auto"/>
              <w:jc w:val="left"/>
            </w:pPr>
            <w:r>
              <w:rPr>
                <w:rFonts w:hint="eastAsia"/>
              </w:rPr>
              <w:t>（3）在报价函上填写了投标价（包含大写金额和小写金额），投标价不高于比选人公布的最高投标限价，且报价唯一；</w:t>
            </w:r>
          </w:p>
          <w:p>
            <w:pPr>
              <w:tabs>
                <w:tab w:val="left" w:pos="5220"/>
                <w:tab w:val="left" w:pos="5400"/>
                <w:tab w:val="left" w:pos="5580"/>
              </w:tabs>
              <w:spacing w:line="360" w:lineRule="auto"/>
              <w:jc w:val="left"/>
              <w:rPr>
                <w:rFonts w:hAnsi="宋体"/>
              </w:rPr>
            </w:pPr>
            <w:r>
              <w:rPr>
                <w:rFonts w:hint="eastAsia"/>
              </w:rPr>
              <w:t>（4）</w:t>
            </w:r>
            <w:r>
              <w:rPr>
                <w:rFonts w:hint="eastAsia" w:ascii="宋体" w:cs="宋体"/>
                <w:kern w:val="0"/>
                <w:szCs w:val="21"/>
              </w:rPr>
              <w:t>报价函及报价清单未附有比选人不能接受的条件。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94" w:hRule="atLeast"/>
        </w:trPr>
        <w:tc>
          <w:tcPr>
            <w:tcW w:w="1134" w:type="dxa"/>
            <w:vAlign w:val="center"/>
          </w:tcPr>
          <w:p>
            <w:pPr>
              <w:pStyle w:val="15"/>
              <w:adjustRightInd w:val="0"/>
              <w:snapToGrid w:val="0"/>
              <w:jc w:val="center"/>
              <w:rPr>
                <w:rFonts w:hAnsi="宋体"/>
              </w:rPr>
            </w:pPr>
            <w:r>
              <w:rPr>
                <w:rFonts w:hint="eastAsia" w:hAnsi="宋体"/>
              </w:rPr>
              <w:t>5.</w:t>
            </w:r>
            <w:r>
              <w:rPr>
                <w:rFonts w:hint="eastAsia" w:hAnsi="宋体" w:cs="Arial"/>
                <w:kern w:val="0"/>
              </w:rPr>
              <w:t>第二信封详细评审</w:t>
            </w:r>
            <w:r>
              <w:rPr>
                <w:rFonts w:ascii="Times New Roman" w:hAnsi="Times New Roman" w:cs="Times New Roman"/>
              </w:rPr>
              <w:t>标准</w:t>
            </w:r>
          </w:p>
        </w:tc>
        <w:tc>
          <w:tcPr>
            <w:tcW w:w="1276" w:type="dxa"/>
            <w:vAlign w:val="center"/>
          </w:tcPr>
          <w:p>
            <w:pPr>
              <w:ind w:firstLine="28"/>
              <w:jc w:val="center"/>
              <w:rPr>
                <w:rFonts w:ascii="宋体" w:hAnsi="宋体"/>
                <w:szCs w:val="21"/>
              </w:rPr>
            </w:pPr>
            <w:r>
              <w:rPr>
                <w:rFonts w:hint="eastAsia" w:ascii="宋体" w:hAnsi="宋体"/>
                <w:szCs w:val="21"/>
              </w:rPr>
              <w:t>报价</w:t>
            </w:r>
          </w:p>
          <w:p>
            <w:pPr>
              <w:ind w:firstLine="28"/>
              <w:jc w:val="center"/>
              <w:rPr>
                <w:rFonts w:ascii="宋体" w:hAnsi="宋体"/>
                <w:szCs w:val="21"/>
              </w:rPr>
            </w:pPr>
            <w:r>
              <w:rPr>
                <w:rFonts w:hint="eastAsia" w:hAnsi="宋体"/>
              </w:rPr>
              <w:t>（10分）</w:t>
            </w:r>
          </w:p>
        </w:tc>
        <w:tc>
          <w:tcPr>
            <w:tcW w:w="6662" w:type="dxa"/>
            <w:gridSpan w:val="2"/>
            <w:vAlign w:val="center"/>
          </w:tcPr>
          <w:p>
            <w:pPr>
              <w:jc w:val="left"/>
              <w:rPr>
                <w:rFonts w:ascii="宋体" w:hAnsi="宋体" w:eastAsia="宋体" w:cs="宋体"/>
                <w:sz w:val="20"/>
                <w:szCs w:val="20"/>
              </w:rPr>
            </w:pPr>
            <w:r>
              <w:rPr>
                <w:rFonts w:ascii="宋体" w:hAnsi="宋体" w:eastAsia="宋体" w:cs="宋体"/>
                <w:sz w:val="20"/>
                <w:szCs w:val="20"/>
              </w:rPr>
              <w:t>1.</w:t>
            </w:r>
            <w:r>
              <w:rPr>
                <w:rFonts w:hint="eastAsia" w:ascii="宋体" w:hAnsi="宋体" w:eastAsia="宋体" w:cs="宋体"/>
                <w:sz w:val="20"/>
                <w:szCs w:val="20"/>
              </w:rPr>
              <w:t>评标基准价，评标基准价D=（D1+D2+D3+....+Dn)/n</w:t>
            </w:r>
            <w:r>
              <w:rPr>
                <w:rFonts w:hint="eastAsia" w:ascii="宋体" w:hAnsi="宋体" w:cs="宋体"/>
                <w:sz w:val="20"/>
                <w:szCs w:val="20"/>
              </w:rPr>
              <w:t>）</w:t>
            </w:r>
          </w:p>
          <w:p>
            <w:pPr>
              <w:jc w:val="left"/>
              <w:rPr>
                <w:rFonts w:ascii="宋体" w:hAnsi="宋体" w:eastAsia="宋体" w:cs="宋体"/>
                <w:sz w:val="20"/>
                <w:szCs w:val="20"/>
              </w:rPr>
            </w:pPr>
            <w:r>
              <w:rPr>
                <w:rFonts w:hint="eastAsia" w:ascii="宋体" w:hAnsi="宋体" w:eastAsia="宋体" w:cs="宋体"/>
                <w:sz w:val="20"/>
                <w:szCs w:val="20"/>
              </w:rPr>
              <w:t>其中：D1、D2...Dn---各比选申请人有效总报价；</w:t>
            </w:r>
          </w:p>
          <w:p>
            <w:pPr>
              <w:jc w:val="left"/>
              <w:rPr>
                <w:rFonts w:ascii="宋体" w:hAnsi="宋体" w:eastAsia="宋体" w:cs="宋体"/>
                <w:sz w:val="20"/>
                <w:szCs w:val="20"/>
              </w:rPr>
            </w:pPr>
            <w:r>
              <w:rPr>
                <w:rFonts w:hint="eastAsia" w:ascii="宋体" w:hAnsi="宋体" w:eastAsia="宋体" w:cs="宋体"/>
                <w:sz w:val="20"/>
                <w:szCs w:val="20"/>
              </w:rPr>
              <w:t xml:space="preserve"> D---各比选申请人有效总报价的算数平均值，四舍五入保留小数点后两位；</w:t>
            </w:r>
          </w:p>
          <w:p>
            <w:pPr>
              <w:pStyle w:val="2"/>
              <w:ind w:left="0" w:leftChars="0" w:firstLine="0" w:firstLineChars="0"/>
              <w:rPr>
                <w:rFonts w:ascii="宋体" w:hAnsi="宋体" w:eastAsia="宋体" w:cs="宋体"/>
                <w:sz w:val="20"/>
                <w:szCs w:val="20"/>
              </w:rPr>
            </w:pPr>
            <w:r>
              <w:rPr>
                <w:rFonts w:hint="eastAsia"/>
              </w:rPr>
              <w:t>2</w:t>
            </w:r>
            <w:r>
              <w:t>.</w:t>
            </w:r>
            <w:r>
              <w:rPr>
                <w:rFonts w:hint="eastAsia"/>
              </w:rPr>
              <w:t>比选申请人有效报价为，不超过最高投标限价的比选申请报价。</w:t>
            </w:r>
          </w:p>
          <w:p>
            <w:pPr>
              <w:jc w:val="left"/>
              <w:rPr>
                <w:rFonts w:ascii="宋体" w:hAnsi="宋体" w:eastAsia="宋体" w:cs="宋体"/>
                <w:sz w:val="20"/>
                <w:szCs w:val="20"/>
              </w:rPr>
            </w:pPr>
            <w:r>
              <w:rPr>
                <w:rFonts w:hint="eastAsia" w:ascii="宋体" w:hAnsi="宋体" w:eastAsia="宋体" w:cs="宋体"/>
                <w:sz w:val="20"/>
                <w:szCs w:val="20"/>
              </w:rPr>
              <w:t>3</w:t>
            </w:r>
            <w:r>
              <w:rPr>
                <w:rFonts w:ascii="宋体" w:hAnsi="宋体" w:eastAsia="宋体" w:cs="宋体"/>
                <w:sz w:val="20"/>
                <w:szCs w:val="20"/>
              </w:rPr>
              <w:t>.</w:t>
            </w:r>
            <w:r>
              <w:rPr>
                <w:rFonts w:hint="eastAsia" w:ascii="宋体" w:hAnsi="宋体" w:eastAsia="宋体" w:cs="宋体"/>
                <w:sz w:val="20"/>
                <w:szCs w:val="20"/>
              </w:rPr>
              <w:t>比选申请人报价得分的计算方式为：</w:t>
            </w:r>
          </w:p>
          <w:p>
            <w:pPr>
              <w:pStyle w:val="2"/>
              <w:ind w:firstLine="400"/>
              <w:rPr>
                <w:rFonts w:ascii="宋体" w:hAnsi="宋体" w:eastAsia="宋体" w:cs="宋体"/>
                <w:sz w:val="20"/>
                <w:szCs w:val="20"/>
              </w:rPr>
            </w:pPr>
          </w:p>
          <w:p>
            <w:pPr>
              <w:jc w:val="left"/>
              <w:rPr>
                <w:rFonts w:ascii="宋体" w:hAnsi="宋体" w:eastAsia="宋体" w:cs="宋体"/>
                <w:sz w:val="20"/>
                <w:szCs w:val="20"/>
              </w:rPr>
            </w:pPr>
            <w:r>
              <w:rPr>
                <w:rFonts w:hint="eastAsia" w:ascii="宋体" w:hAnsi="宋体" w:eastAsia="宋体" w:cs="宋体"/>
                <w:sz w:val="20"/>
                <w:szCs w:val="20"/>
              </w:rPr>
              <w:t>比选申请人报价得分＝10－|(比选申请人总报价-D)/D|×100×Q，四舍五入保留小数点后两位；</w:t>
            </w:r>
          </w:p>
          <w:p>
            <w:pPr>
              <w:adjustRightInd w:val="0"/>
              <w:snapToGrid w:val="0"/>
              <w:spacing w:line="340" w:lineRule="exact"/>
              <w:jc w:val="left"/>
              <w:rPr>
                <w:rFonts w:hAnsi="宋体" w:eastAsia="宋体"/>
              </w:rPr>
            </w:pPr>
            <w:r>
              <w:rPr>
                <w:rFonts w:hint="eastAsia" w:ascii="宋体" w:hAnsi="宋体" w:eastAsia="宋体" w:cs="宋体"/>
                <w:sz w:val="20"/>
                <w:szCs w:val="20"/>
              </w:rPr>
              <w:t>其中：当比选申请人总报价＞D时，Q=1.2；当比选申请人总报价＜D时，Q=1。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9" w:hRule="atLeast"/>
        </w:trPr>
        <w:tc>
          <w:tcPr>
            <w:tcW w:w="1134" w:type="dxa"/>
            <w:vAlign w:val="center"/>
          </w:tcPr>
          <w:p>
            <w:pPr>
              <w:pStyle w:val="15"/>
              <w:adjustRightInd w:val="0"/>
              <w:snapToGrid w:val="0"/>
              <w:jc w:val="center"/>
              <w:rPr>
                <w:rFonts w:hAnsi="宋体"/>
              </w:rPr>
            </w:pPr>
            <w:r>
              <w:rPr>
                <w:rFonts w:hint="eastAsia" w:hAnsi="宋体"/>
              </w:rPr>
              <w:t>3.11</w:t>
            </w:r>
          </w:p>
          <w:p>
            <w:pPr>
              <w:pStyle w:val="15"/>
              <w:adjustRightInd w:val="0"/>
              <w:snapToGrid w:val="0"/>
              <w:jc w:val="center"/>
              <w:rPr>
                <w:rFonts w:hAnsi="宋体"/>
              </w:rPr>
            </w:pPr>
            <w:r>
              <w:rPr>
                <w:rFonts w:hint="eastAsia" w:hAnsi="宋体"/>
                <w:kern w:val="0"/>
              </w:rPr>
              <w:t>综合评分</w:t>
            </w:r>
          </w:p>
        </w:tc>
        <w:tc>
          <w:tcPr>
            <w:tcW w:w="1276" w:type="dxa"/>
            <w:vAlign w:val="center"/>
          </w:tcPr>
          <w:p>
            <w:pPr>
              <w:ind w:firstLine="28"/>
              <w:jc w:val="center"/>
              <w:rPr>
                <w:rFonts w:ascii="宋体" w:hAnsi="宋体"/>
                <w:szCs w:val="21"/>
              </w:rPr>
            </w:pPr>
            <w:r>
              <w:rPr>
                <w:rFonts w:hint="eastAsia" w:ascii="宋体" w:hAnsi="宋体"/>
                <w:kern w:val="0"/>
                <w:szCs w:val="21"/>
              </w:rPr>
              <w:t>综合评分</w:t>
            </w:r>
          </w:p>
        </w:tc>
        <w:tc>
          <w:tcPr>
            <w:tcW w:w="6662" w:type="dxa"/>
            <w:gridSpan w:val="2"/>
            <w:vAlign w:val="center"/>
          </w:tcPr>
          <w:p>
            <w:pPr>
              <w:pStyle w:val="15"/>
              <w:spacing w:line="360" w:lineRule="exact"/>
              <w:rPr>
                <w:rFonts w:hAnsi="宋体"/>
              </w:rPr>
            </w:pPr>
            <w:r>
              <w:rPr>
                <w:rFonts w:hint="eastAsia" w:hAnsi="宋体"/>
                <w:kern w:val="0"/>
              </w:rPr>
              <w:t>综合评分=第一信封评分</w:t>
            </w:r>
            <w:r>
              <w:rPr>
                <w:rFonts w:hint="eastAsia" w:hAnsi="宋体"/>
              </w:rPr>
              <w:t xml:space="preserve"> +第二信封报价评分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695" w:hRule="atLeast"/>
        </w:trPr>
        <w:tc>
          <w:tcPr>
            <w:tcW w:w="2410" w:type="dxa"/>
            <w:gridSpan w:val="2"/>
            <w:vAlign w:val="center"/>
          </w:tcPr>
          <w:p>
            <w:pPr>
              <w:pStyle w:val="15"/>
              <w:adjustRightInd w:val="0"/>
              <w:snapToGrid w:val="0"/>
              <w:spacing w:line="360" w:lineRule="exact"/>
              <w:jc w:val="center"/>
              <w:rPr>
                <w:rFonts w:hAnsi="宋体" w:cs="Times New Roman"/>
              </w:rPr>
            </w:pPr>
            <w:r>
              <w:rPr>
                <w:rFonts w:hint="eastAsia" w:hAnsi="宋体" w:cs="Times New Roman"/>
              </w:rPr>
              <w:t>3.12</w:t>
            </w:r>
          </w:p>
          <w:p>
            <w:pPr>
              <w:pStyle w:val="15"/>
              <w:adjustRightInd w:val="0"/>
              <w:snapToGrid w:val="0"/>
              <w:spacing w:line="360" w:lineRule="exact"/>
              <w:jc w:val="center"/>
              <w:rPr>
                <w:rFonts w:hAnsi="宋体"/>
              </w:rPr>
            </w:pPr>
            <w:r>
              <w:rPr>
                <w:rFonts w:hint="eastAsia" w:hAnsi="宋体" w:cs="Times New Roman"/>
              </w:rPr>
              <w:t>推荐中标候选人</w:t>
            </w:r>
          </w:p>
        </w:tc>
        <w:tc>
          <w:tcPr>
            <w:tcW w:w="6662" w:type="dxa"/>
            <w:gridSpan w:val="2"/>
            <w:vAlign w:val="center"/>
          </w:tcPr>
          <w:p>
            <w:pPr>
              <w:pStyle w:val="15"/>
              <w:adjustRightInd w:val="0"/>
              <w:snapToGrid w:val="0"/>
              <w:spacing w:line="360" w:lineRule="exact"/>
              <w:rPr>
                <w:rFonts w:hAnsi="宋体"/>
              </w:rPr>
            </w:pPr>
            <w:r>
              <w:rPr>
                <w:rFonts w:hint="eastAsia" w:hAnsi="宋体"/>
              </w:rPr>
              <w:t>1.</w:t>
            </w:r>
            <w:r>
              <w:rPr>
                <w:rFonts w:hint="eastAsia" w:hAnsi="宋体" w:cs="宋体"/>
                <w:color w:val="000000"/>
                <w:sz w:val="20"/>
                <w:szCs w:val="20"/>
              </w:rPr>
              <w:t>评审委员会首先对所有比选申请文件进行形式、响应性及资格审查，并实行强制性合格条件标准，凡有一项不合格则不通过，不再进入下一步评标。</w:t>
            </w:r>
            <w:r>
              <w:rPr>
                <w:rFonts w:hint="eastAsia" w:cs="宋体"/>
                <w:sz w:val="20"/>
                <w:szCs w:val="20"/>
              </w:rPr>
              <w:t>只有通过第一信封初步评审和资格审查的投标人才能进入第二信封评审，当通过第一信封初步评审和资格审查的投标人不足3名时，按相应的家数进行第二信封评审。</w:t>
            </w:r>
          </w:p>
          <w:p>
            <w:pPr>
              <w:pStyle w:val="15"/>
              <w:adjustRightInd w:val="0"/>
              <w:snapToGrid w:val="0"/>
              <w:spacing w:line="360" w:lineRule="exact"/>
              <w:rPr>
                <w:rFonts w:hAnsi="宋体"/>
              </w:rPr>
            </w:pPr>
            <w:r>
              <w:rPr>
                <w:rFonts w:hint="eastAsia" w:hAnsi="宋体"/>
              </w:rPr>
              <w:t>2.评标委员会按综合评分由高到低排序推荐中标候选人。当综合评分相等时，</w:t>
            </w:r>
            <w:r>
              <w:rPr>
                <w:rFonts w:hint="eastAsia" w:ascii="Times New Roman" w:hAnsi="Times New Roman" w:cs="Times New Roman"/>
              </w:rPr>
              <w:t>以投标报价低的优先；投标报价也相等的</w:t>
            </w:r>
            <w:r>
              <w:rPr>
                <w:rFonts w:hint="eastAsia" w:hAnsi="宋体"/>
              </w:rPr>
              <w:t>，按注册资本金大的优先。评标委员会按以上原则排序推荐前3名中标候选人（若不足3名，则按相应数量）。</w:t>
            </w:r>
          </w:p>
        </w:tc>
      </w:tr>
    </w:tbl>
    <w:p/>
    <w:p>
      <w:pPr>
        <w:spacing w:line="600" w:lineRule="exact"/>
        <w:rPr>
          <w:rFonts w:ascii="仿宋_GB2312" w:hAnsi="仿宋_GB2312" w:eastAsia="仿宋_GB2312" w:cs="仿宋_GB2312"/>
          <w:b/>
          <w:bCs/>
          <w:sz w:val="28"/>
          <w:szCs w:val="28"/>
        </w:rPr>
      </w:pPr>
    </w:p>
    <w:p>
      <w:pPr>
        <w:spacing w:line="600" w:lineRule="exact"/>
        <w:rPr>
          <w:rFonts w:ascii="仿宋_GB2312" w:hAnsi="仿宋_GB2312" w:eastAsia="仿宋_GB2312" w:cs="仿宋_GB2312"/>
          <w:b/>
          <w:bCs/>
          <w:sz w:val="28"/>
          <w:szCs w:val="28"/>
        </w:rPr>
      </w:pPr>
    </w:p>
    <w:p>
      <w:pPr>
        <w:spacing w:line="600" w:lineRule="exact"/>
        <w:rPr>
          <w:rFonts w:ascii="仿宋_GB2312" w:hAnsi="仿宋_GB2312" w:eastAsia="仿宋_GB2312" w:cs="仿宋_GB2312"/>
          <w:b/>
          <w:bCs/>
          <w:sz w:val="28"/>
          <w:szCs w:val="28"/>
        </w:rPr>
      </w:pPr>
    </w:p>
    <w:p>
      <w:pPr>
        <w:spacing w:line="600" w:lineRule="exact"/>
        <w:rPr>
          <w:rFonts w:ascii="仿宋_GB2312" w:hAnsi="仿宋_GB2312" w:eastAsia="仿宋_GB2312" w:cs="仿宋_GB2312"/>
          <w:b/>
          <w:bCs/>
          <w:sz w:val="28"/>
          <w:szCs w:val="28"/>
        </w:rPr>
      </w:pPr>
    </w:p>
    <w:p>
      <w:pPr>
        <w:spacing w:line="600" w:lineRule="exact"/>
        <w:jc w:val="center"/>
        <w:rPr>
          <w:rFonts w:cs="仿宋_GB2312" w:asciiTheme="majorEastAsia" w:hAnsiTheme="majorEastAsia" w:eastAsiaTheme="majorEastAsia"/>
          <w:b/>
          <w:bCs/>
          <w:sz w:val="30"/>
          <w:szCs w:val="30"/>
        </w:rPr>
      </w:pPr>
    </w:p>
    <w:p>
      <w:pPr>
        <w:spacing w:line="600" w:lineRule="exact"/>
        <w:jc w:val="center"/>
        <w:rPr>
          <w:rFonts w:cs="仿宋_GB2312" w:asciiTheme="majorEastAsia" w:hAnsiTheme="majorEastAsia" w:eastAsiaTheme="majorEastAsia"/>
          <w:b/>
          <w:bCs/>
          <w:sz w:val="30"/>
          <w:szCs w:val="30"/>
        </w:rPr>
      </w:pPr>
    </w:p>
    <w:p>
      <w:pPr>
        <w:spacing w:line="600" w:lineRule="exact"/>
        <w:jc w:val="center"/>
        <w:rPr>
          <w:rFonts w:cs="仿宋_GB2312" w:asciiTheme="majorEastAsia" w:hAnsiTheme="majorEastAsia" w:eastAsiaTheme="majorEastAsia"/>
          <w:b/>
          <w:bCs/>
          <w:sz w:val="30"/>
          <w:szCs w:val="30"/>
        </w:rPr>
      </w:pPr>
    </w:p>
    <w:p>
      <w:pPr>
        <w:spacing w:line="600" w:lineRule="exact"/>
        <w:jc w:val="center"/>
        <w:rPr>
          <w:rFonts w:cs="仿宋_GB2312" w:asciiTheme="majorEastAsia" w:hAnsiTheme="majorEastAsia" w:eastAsiaTheme="majorEastAsia"/>
          <w:b/>
          <w:bCs/>
          <w:sz w:val="30"/>
          <w:szCs w:val="30"/>
        </w:rPr>
      </w:pPr>
    </w:p>
    <w:p>
      <w:pPr>
        <w:spacing w:line="600" w:lineRule="exact"/>
        <w:jc w:val="center"/>
        <w:rPr>
          <w:rFonts w:cs="仿宋_GB2312" w:asciiTheme="majorEastAsia" w:hAnsiTheme="majorEastAsia" w:eastAsiaTheme="majorEastAsia"/>
          <w:b/>
          <w:bCs/>
          <w:sz w:val="30"/>
          <w:szCs w:val="30"/>
        </w:rPr>
      </w:pPr>
      <w:r>
        <w:rPr>
          <w:rFonts w:hint="eastAsia" w:cs="仿宋_GB2312" w:asciiTheme="majorEastAsia" w:hAnsiTheme="majorEastAsia" w:eastAsiaTheme="majorEastAsia"/>
          <w:b/>
          <w:bCs/>
          <w:sz w:val="30"/>
          <w:szCs w:val="30"/>
        </w:rPr>
        <w:t>二、评审办法</w:t>
      </w:r>
    </w:p>
    <w:p>
      <w:pPr>
        <w:spacing w:line="600" w:lineRule="exact"/>
        <w:jc w:val="center"/>
        <w:rPr>
          <w:rFonts w:ascii="仿宋_GB2312" w:hAnsi="仿宋_GB2312" w:eastAsia="仿宋_GB2312" w:cs="仿宋_GB2312"/>
          <w:b/>
          <w:bCs/>
          <w:sz w:val="28"/>
          <w:szCs w:val="28"/>
        </w:rPr>
      </w:pPr>
    </w:p>
    <w:p>
      <w:pPr>
        <w:pStyle w:val="15"/>
        <w:adjustRightInd w:val="0"/>
        <w:snapToGrid w:val="0"/>
        <w:spacing w:line="360" w:lineRule="auto"/>
        <w:ind w:left="420" w:leftChars="200"/>
        <w:rPr>
          <w:rFonts w:ascii="Times New Roman" w:hAnsi="Times New Roman" w:eastAsia="黑体" w:cs="Times New Roman"/>
        </w:rPr>
      </w:pPr>
      <w:r>
        <w:rPr>
          <w:rFonts w:hint="eastAsia" w:ascii="Times New Roman" w:hAnsi="Times New Roman" w:eastAsia="黑体" w:cs="Times New Roman"/>
        </w:rPr>
        <w:t>1.评标方法</w:t>
      </w:r>
    </w:p>
    <w:p>
      <w:pPr>
        <w:pStyle w:val="15"/>
        <w:adjustRightInd w:val="0"/>
        <w:snapToGrid w:val="0"/>
        <w:spacing w:line="360" w:lineRule="auto"/>
        <w:ind w:firstLine="420" w:firstLineChars="200"/>
        <w:rPr>
          <w:rFonts w:ascii="Times New Roman" w:hAnsi="Times New Roman" w:cs="Times New Roman"/>
        </w:rPr>
      </w:pPr>
      <w:r>
        <w:rPr>
          <w:rFonts w:hint="eastAsia" w:ascii="Times New Roman" w:hAnsi="Times New Roman" w:cs="Times New Roman"/>
        </w:rPr>
        <w:t>本次评标采用综合评分法。</w:t>
      </w:r>
      <w:r>
        <w:rPr>
          <w:rFonts w:hint="eastAsia" w:hAnsi="宋体" w:cstheme="minorBidi"/>
        </w:rPr>
        <w:t>评审委员会为3</w:t>
      </w:r>
      <w:r>
        <w:rPr>
          <w:rFonts w:hAnsi="宋体" w:cstheme="minorBidi"/>
        </w:rPr>
        <w:t>人</w:t>
      </w:r>
      <w:r>
        <w:rPr>
          <w:rFonts w:hint="eastAsia" w:hAnsi="宋体" w:cstheme="minorBidi"/>
        </w:rPr>
        <w:t>组成。</w:t>
      </w:r>
      <w:r>
        <w:rPr>
          <w:rFonts w:hint="eastAsia" w:ascii="Times New Roman" w:hAnsi="Times New Roman" w:cs="Times New Roman"/>
        </w:rPr>
        <w:t>评审委员会对满足招标文件实质性要求的投标文件，按照本章规定的评分标准进行打分，并按得分由高到低顺序推荐中标候选人。</w:t>
      </w:r>
      <w:r>
        <w:rPr>
          <w:rFonts w:hint="eastAsia" w:hAnsi="宋体"/>
        </w:rPr>
        <w:t>当综合评分相等时，</w:t>
      </w:r>
      <w:r>
        <w:rPr>
          <w:rFonts w:hint="eastAsia" w:ascii="Times New Roman" w:hAnsi="Times New Roman" w:cs="Times New Roman"/>
        </w:rPr>
        <w:t>以投标报价低的优先；投标报价也相等的</w:t>
      </w:r>
      <w:r>
        <w:rPr>
          <w:rFonts w:hint="eastAsia" w:hAnsi="宋体"/>
        </w:rPr>
        <w:t>，按注册资本金大的优先。评标委员会按最终的综合评分排序推荐前3名中标候选人（若不足3名，则按相应数量）</w:t>
      </w:r>
      <w:r>
        <w:rPr>
          <w:rFonts w:hint="eastAsia" w:ascii="Times New Roman" w:hAnsi="Times New Roman" w:cs="Times New Roman"/>
        </w:rPr>
        <w:t>。</w:t>
      </w:r>
    </w:p>
    <w:p>
      <w:pPr>
        <w:pStyle w:val="15"/>
        <w:adjustRightInd w:val="0"/>
        <w:snapToGrid w:val="0"/>
        <w:spacing w:line="360" w:lineRule="auto"/>
        <w:ind w:left="420" w:leftChars="200"/>
        <w:rPr>
          <w:rFonts w:ascii="Times New Roman" w:hAnsi="Times New Roman" w:cs="Times New Roman"/>
        </w:rPr>
      </w:pPr>
      <w:r>
        <w:rPr>
          <w:rFonts w:hint="eastAsia" w:ascii="Times New Roman" w:hAnsi="Times New Roman" w:cs="Times New Roman"/>
        </w:rPr>
        <w:t>2.评审标准</w:t>
      </w:r>
    </w:p>
    <w:p>
      <w:pPr>
        <w:pStyle w:val="15"/>
        <w:adjustRightInd w:val="0"/>
        <w:snapToGrid w:val="0"/>
        <w:spacing w:line="360" w:lineRule="auto"/>
        <w:ind w:left="420" w:leftChars="200"/>
        <w:rPr>
          <w:rFonts w:ascii="Times New Roman" w:hAnsi="Times New Roman" w:cs="Times New Roman"/>
        </w:rPr>
      </w:pPr>
      <w:r>
        <w:rPr>
          <w:rFonts w:hint="eastAsia" w:ascii="Times New Roman" w:hAnsi="Times New Roman" w:cs="Times New Roman"/>
        </w:rPr>
        <w:t>（见评审办法前附表）</w:t>
      </w:r>
    </w:p>
    <w:p>
      <w:pPr>
        <w:pStyle w:val="15"/>
        <w:adjustRightInd w:val="0"/>
        <w:snapToGrid w:val="0"/>
        <w:spacing w:line="360" w:lineRule="auto"/>
        <w:ind w:left="420" w:leftChars="200"/>
        <w:rPr>
          <w:rFonts w:ascii="Times New Roman" w:hAnsi="Times New Roman" w:eastAsia="黑体" w:cs="Times New Roman"/>
        </w:rPr>
      </w:pPr>
      <w:r>
        <w:rPr>
          <w:rFonts w:hint="eastAsia" w:ascii="Times New Roman" w:hAnsi="Times New Roman" w:cs="Times New Roman"/>
        </w:rPr>
        <w:t>3.</w:t>
      </w:r>
      <w:r>
        <w:rPr>
          <w:rFonts w:hint="eastAsia" w:ascii="Times New Roman" w:hAnsi="Times New Roman" w:eastAsia="黑体" w:cs="Times New Roman"/>
        </w:rPr>
        <w:t xml:space="preserve"> 评标程序</w:t>
      </w:r>
    </w:p>
    <w:p>
      <w:pPr>
        <w:tabs>
          <w:tab w:val="left" w:pos="5220"/>
          <w:tab w:val="left" w:pos="5400"/>
          <w:tab w:val="left" w:pos="5580"/>
        </w:tabs>
        <w:autoSpaceDE w:val="0"/>
        <w:autoSpaceDN w:val="0"/>
        <w:adjustRightInd w:val="0"/>
        <w:spacing w:line="360" w:lineRule="auto"/>
        <w:ind w:left="420" w:leftChars="200" w:right="325" w:rightChars="155"/>
        <w:jc w:val="left"/>
        <w:rPr>
          <w:rFonts w:ascii="宋体" w:hAnsi="宋体"/>
          <w:b/>
          <w:kern w:val="0"/>
          <w:szCs w:val="21"/>
        </w:rPr>
      </w:pPr>
      <w:r>
        <w:rPr>
          <w:rFonts w:hint="eastAsia" w:ascii="宋体" w:hAnsi="宋体"/>
          <w:b/>
          <w:kern w:val="0"/>
          <w:szCs w:val="21"/>
        </w:rPr>
        <w:t>3.1 评标程序</w:t>
      </w:r>
    </w:p>
    <w:p>
      <w:pPr>
        <w:tabs>
          <w:tab w:val="left" w:pos="5220"/>
          <w:tab w:val="left" w:pos="5400"/>
          <w:tab w:val="left" w:pos="5580"/>
        </w:tabs>
        <w:autoSpaceDE w:val="0"/>
        <w:autoSpaceDN w:val="0"/>
        <w:adjustRightInd w:val="0"/>
        <w:spacing w:line="360" w:lineRule="auto"/>
        <w:ind w:left="420" w:leftChars="200" w:right="325" w:rightChars="155"/>
        <w:jc w:val="left"/>
        <w:rPr>
          <w:rFonts w:ascii="宋体" w:hAnsi="宋体"/>
          <w:kern w:val="0"/>
          <w:szCs w:val="21"/>
        </w:rPr>
      </w:pPr>
      <w:r>
        <w:rPr>
          <w:rFonts w:hint="eastAsia" w:ascii="宋体" w:hAnsi="宋体"/>
          <w:kern w:val="0"/>
          <w:szCs w:val="21"/>
        </w:rPr>
        <w:t>评标工作按以下程序进行：</w:t>
      </w:r>
    </w:p>
    <w:p>
      <w:pPr>
        <w:tabs>
          <w:tab w:val="left" w:pos="5220"/>
          <w:tab w:val="left" w:pos="5400"/>
          <w:tab w:val="left" w:pos="5580"/>
        </w:tabs>
        <w:autoSpaceDE w:val="0"/>
        <w:autoSpaceDN w:val="0"/>
        <w:adjustRightInd w:val="0"/>
        <w:spacing w:line="360" w:lineRule="auto"/>
        <w:ind w:left="420" w:leftChars="200" w:right="325" w:rightChars="155"/>
        <w:jc w:val="left"/>
        <w:rPr>
          <w:rFonts w:ascii="宋体" w:hAnsi="宋体"/>
          <w:kern w:val="0"/>
          <w:szCs w:val="21"/>
        </w:rPr>
      </w:pPr>
      <w:r>
        <w:rPr>
          <w:rFonts w:hint="eastAsia" w:ascii="宋体" w:hAnsi="宋体"/>
          <w:bCs/>
          <w:kern w:val="0"/>
          <w:szCs w:val="21"/>
        </w:rPr>
        <w:t>3.1.1</w:t>
      </w:r>
      <w:r>
        <w:rPr>
          <w:rFonts w:hint="eastAsia" w:ascii="宋体" w:hAnsi="宋体"/>
          <w:kern w:val="0"/>
          <w:szCs w:val="21"/>
        </w:rPr>
        <w:t>第一信封</w:t>
      </w:r>
      <w:r>
        <w:rPr>
          <w:rFonts w:hint="eastAsia" w:ascii="宋体" w:hAnsi="宋体" w:cs="Arial"/>
          <w:kern w:val="0"/>
          <w:szCs w:val="21"/>
        </w:rPr>
        <w:t>评审</w:t>
      </w:r>
    </w:p>
    <w:p>
      <w:pPr>
        <w:tabs>
          <w:tab w:val="left" w:pos="5220"/>
          <w:tab w:val="left" w:pos="5400"/>
          <w:tab w:val="left" w:pos="5580"/>
        </w:tabs>
        <w:autoSpaceDE w:val="0"/>
        <w:autoSpaceDN w:val="0"/>
        <w:adjustRightInd w:val="0"/>
        <w:spacing w:line="360" w:lineRule="auto"/>
        <w:ind w:left="420" w:leftChars="200" w:right="325" w:rightChars="155"/>
        <w:jc w:val="left"/>
        <w:rPr>
          <w:rFonts w:ascii="宋体" w:hAnsi="宋体"/>
          <w:kern w:val="0"/>
          <w:szCs w:val="21"/>
        </w:rPr>
      </w:pPr>
      <w:r>
        <w:rPr>
          <w:rFonts w:hint="eastAsia" w:ascii="宋体" w:hAnsi="宋体"/>
          <w:kern w:val="0"/>
          <w:szCs w:val="21"/>
        </w:rPr>
        <w:t>(1)第一信封</w:t>
      </w:r>
      <w:r>
        <w:rPr>
          <w:rFonts w:hint="eastAsia" w:hAnsi="宋体"/>
          <w:bCs/>
        </w:rPr>
        <w:t>形式、响应性评审</w:t>
      </w:r>
      <w:r>
        <w:rPr>
          <w:rFonts w:hint="eastAsia" w:ascii="宋体" w:hAnsi="宋体"/>
          <w:kern w:val="0"/>
          <w:szCs w:val="21"/>
        </w:rPr>
        <w:t>；</w:t>
      </w:r>
    </w:p>
    <w:p>
      <w:pPr>
        <w:tabs>
          <w:tab w:val="left" w:pos="5220"/>
          <w:tab w:val="left" w:pos="5400"/>
          <w:tab w:val="left" w:pos="5580"/>
        </w:tabs>
        <w:autoSpaceDE w:val="0"/>
        <w:autoSpaceDN w:val="0"/>
        <w:adjustRightInd w:val="0"/>
        <w:spacing w:line="360" w:lineRule="auto"/>
        <w:ind w:left="420" w:leftChars="200" w:right="325" w:rightChars="155"/>
        <w:jc w:val="left"/>
        <w:rPr>
          <w:rFonts w:ascii="宋体" w:hAnsi="宋体" w:cs="Arial"/>
          <w:kern w:val="0"/>
          <w:szCs w:val="21"/>
        </w:rPr>
      </w:pPr>
      <w:r>
        <w:rPr>
          <w:rFonts w:hint="eastAsia" w:ascii="宋体" w:hAnsi="宋体"/>
          <w:kern w:val="0"/>
          <w:szCs w:val="21"/>
        </w:rPr>
        <w:t>(2)第一信封资格审查；</w:t>
      </w:r>
      <w:r>
        <w:rPr>
          <w:rFonts w:hint="eastAsia" w:ascii="宋体" w:hAnsi="宋体" w:cs="Arial"/>
          <w:kern w:val="0"/>
          <w:szCs w:val="21"/>
        </w:rPr>
        <w:t xml:space="preserve"> </w:t>
      </w:r>
    </w:p>
    <w:p>
      <w:pPr>
        <w:tabs>
          <w:tab w:val="left" w:pos="5220"/>
          <w:tab w:val="left" w:pos="5400"/>
          <w:tab w:val="left" w:pos="5580"/>
        </w:tabs>
        <w:autoSpaceDE w:val="0"/>
        <w:autoSpaceDN w:val="0"/>
        <w:adjustRightInd w:val="0"/>
        <w:spacing w:line="360" w:lineRule="auto"/>
        <w:ind w:left="420" w:leftChars="200" w:right="325" w:rightChars="155"/>
        <w:jc w:val="left"/>
        <w:rPr>
          <w:rFonts w:ascii="宋体" w:hAnsi="宋体" w:cs="Arial"/>
          <w:kern w:val="0"/>
          <w:szCs w:val="21"/>
        </w:rPr>
      </w:pPr>
      <w:r>
        <w:rPr>
          <w:rFonts w:hint="eastAsia" w:ascii="宋体" w:hAnsi="宋体"/>
          <w:kern w:val="0"/>
          <w:szCs w:val="21"/>
        </w:rPr>
        <w:t>(3)第一信封澄清（如果需要）；</w:t>
      </w:r>
      <w:r>
        <w:rPr>
          <w:rFonts w:hint="eastAsia" w:ascii="宋体" w:hAnsi="宋体" w:cs="Arial"/>
          <w:kern w:val="0"/>
          <w:szCs w:val="21"/>
        </w:rPr>
        <w:t xml:space="preserve"> </w:t>
      </w:r>
    </w:p>
    <w:p>
      <w:pPr>
        <w:tabs>
          <w:tab w:val="left" w:pos="5220"/>
          <w:tab w:val="left" w:pos="5400"/>
          <w:tab w:val="left" w:pos="5580"/>
        </w:tabs>
        <w:autoSpaceDE w:val="0"/>
        <w:autoSpaceDN w:val="0"/>
        <w:adjustRightInd w:val="0"/>
        <w:spacing w:line="360" w:lineRule="auto"/>
        <w:ind w:left="420" w:leftChars="200" w:right="325" w:rightChars="155"/>
        <w:jc w:val="left"/>
        <w:rPr>
          <w:rFonts w:ascii="宋体" w:hAnsi="宋体" w:cs="Arial"/>
          <w:kern w:val="0"/>
          <w:szCs w:val="21"/>
        </w:rPr>
      </w:pPr>
      <w:r>
        <w:rPr>
          <w:rFonts w:hint="eastAsia" w:ascii="宋体" w:hAnsi="宋体"/>
          <w:kern w:val="0"/>
          <w:szCs w:val="21"/>
        </w:rPr>
        <w:t>(4)</w:t>
      </w:r>
      <w:r>
        <w:rPr>
          <w:rFonts w:hint="eastAsia" w:ascii="宋体" w:hAnsi="宋体" w:cs="Arial"/>
          <w:kern w:val="0"/>
          <w:szCs w:val="21"/>
        </w:rPr>
        <w:t>第一信封详细评审。</w:t>
      </w:r>
    </w:p>
    <w:p>
      <w:pPr>
        <w:tabs>
          <w:tab w:val="left" w:pos="5220"/>
          <w:tab w:val="left" w:pos="5400"/>
          <w:tab w:val="left" w:pos="5580"/>
        </w:tabs>
        <w:autoSpaceDE w:val="0"/>
        <w:autoSpaceDN w:val="0"/>
        <w:adjustRightInd w:val="0"/>
        <w:spacing w:line="360" w:lineRule="auto"/>
        <w:ind w:left="420" w:leftChars="200" w:right="325" w:rightChars="155"/>
        <w:jc w:val="left"/>
        <w:rPr>
          <w:rFonts w:ascii="宋体" w:hAnsi="宋体"/>
          <w:b/>
          <w:kern w:val="0"/>
          <w:szCs w:val="21"/>
        </w:rPr>
      </w:pPr>
      <w:r>
        <w:rPr>
          <w:rFonts w:hint="eastAsia" w:ascii="宋体" w:hAnsi="宋体"/>
          <w:bCs/>
          <w:kern w:val="0"/>
          <w:szCs w:val="21"/>
        </w:rPr>
        <w:t xml:space="preserve">3.1.2 </w:t>
      </w:r>
      <w:r>
        <w:rPr>
          <w:rFonts w:hint="eastAsia" w:ascii="宋体" w:hAnsi="宋体" w:cs="Arial"/>
          <w:kern w:val="0"/>
          <w:szCs w:val="21"/>
        </w:rPr>
        <w:t>第二信封评审</w:t>
      </w:r>
    </w:p>
    <w:p>
      <w:pPr>
        <w:tabs>
          <w:tab w:val="left" w:pos="5220"/>
          <w:tab w:val="left" w:pos="5400"/>
          <w:tab w:val="left" w:pos="5580"/>
        </w:tabs>
        <w:autoSpaceDE w:val="0"/>
        <w:autoSpaceDN w:val="0"/>
        <w:adjustRightInd w:val="0"/>
        <w:spacing w:line="360" w:lineRule="auto"/>
        <w:ind w:left="420" w:leftChars="200" w:right="325" w:rightChars="155"/>
        <w:jc w:val="left"/>
        <w:rPr>
          <w:rFonts w:ascii="宋体" w:hAnsi="宋体" w:cs="Arial"/>
          <w:kern w:val="0"/>
          <w:szCs w:val="21"/>
        </w:rPr>
      </w:pPr>
      <w:r>
        <w:rPr>
          <w:rFonts w:hint="eastAsia" w:ascii="宋体" w:hAnsi="宋体"/>
          <w:kern w:val="0"/>
          <w:szCs w:val="21"/>
        </w:rPr>
        <w:t>(1)</w:t>
      </w:r>
      <w:r>
        <w:rPr>
          <w:rFonts w:hint="eastAsia" w:ascii="宋体" w:hAnsi="宋体" w:cs="Arial"/>
          <w:kern w:val="0"/>
          <w:szCs w:val="21"/>
        </w:rPr>
        <w:t>第二信封</w:t>
      </w:r>
      <w:r>
        <w:rPr>
          <w:rFonts w:hint="eastAsia" w:hAnsi="宋体"/>
          <w:bCs/>
        </w:rPr>
        <w:t>形式</w:t>
      </w:r>
      <w:r>
        <w:rPr>
          <w:rFonts w:hint="eastAsia" w:ascii="宋体" w:hAnsi="宋体" w:cs="Arial"/>
          <w:kern w:val="0"/>
          <w:szCs w:val="21"/>
        </w:rPr>
        <w:t>评审；</w:t>
      </w:r>
    </w:p>
    <w:p>
      <w:pPr>
        <w:tabs>
          <w:tab w:val="left" w:pos="5220"/>
          <w:tab w:val="left" w:pos="5400"/>
          <w:tab w:val="left" w:pos="5580"/>
        </w:tabs>
        <w:autoSpaceDE w:val="0"/>
        <w:autoSpaceDN w:val="0"/>
        <w:adjustRightInd w:val="0"/>
        <w:spacing w:line="360" w:lineRule="auto"/>
        <w:ind w:left="420" w:leftChars="200" w:right="325" w:rightChars="155"/>
        <w:jc w:val="left"/>
        <w:rPr>
          <w:rFonts w:ascii="宋体" w:hAnsi="宋体" w:cs="Arial"/>
          <w:kern w:val="0"/>
          <w:szCs w:val="21"/>
        </w:rPr>
      </w:pPr>
      <w:r>
        <w:rPr>
          <w:rFonts w:hint="eastAsia" w:ascii="宋体" w:hAnsi="宋体"/>
          <w:kern w:val="0"/>
          <w:szCs w:val="21"/>
        </w:rPr>
        <w:t>(2)</w:t>
      </w:r>
      <w:r>
        <w:rPr>
          <w:rFonts w:hint="eastAsia" w:ascii="宋体" w:hAnsi="宋体" w:cs="Arial"/>
          <w:kern w:val="0"/>
          <w:szCs w:val="21"/>
        </w:rPr>
        <w:t>第二信封详细评审</w:t>
      </w:r>
    </w:p>
    <w:p>
      <w:pPr>
        <w:tabs>
          <w:tab w:val="left" w:pos="5220"/>
          <w:tab w:val="left" w:pos="5400"/>
          <w:tab w:val="left" w:pos="5580"/>
        </w:tabs>
        <w:autoSpaceDE w:val="0"/>
        <w:autoSpaceDN w:val="0"/>
        <w:adjustRightInd w:val="0"/>
        <w:spacing w:line="360" w:lineRule="auto"/>
        <w:ind w:left="420" w:leftChars="200" w:right="325" w:rightChars="155"/>
        <w:jc w:val="left"/>
        <w:rPr>
          <w:rFonts w:ascii="宋体" w:hAnsi="宋体"/>
          <w:b/>
          <w:kern w:val="0"/>
          <w:szCs w:val="21"/>
        </w:rPr>
      </w:pPr>
      <w:r>
        <w:rPr>
          <w:rFonts w:hint="eastAsia" w:ascii="宋体" w:hAnsi="宋体"/>
          <w:bCs/>
          <w:kern w:val="0"/>
          <w:szCs w:val="21"/>
        </w:rPr>
        <w:t xml:space="preserve">3.1.3 </w:t>
      </w:r>
      <w:r>
        <w:rPr>
          <w:rFonts w:hint="eastAsia" w:ascii="宋体" w:hAnsi="宋体"/>
          <w:b/>
          <w:kern w:val="0"/>
          <w:szCs w:val="21"/>
        </w:rPr>
        <w:t xml:space="preserve"> </w:t>
      </w:r>
      <w:r>
        <w:rPr>
          <w:rFonts w:hint="eastAsia" w:ascii="宋体" w:hAnsi="宋体"/>
          <w:kern w:val="0"/>
          <w:szCs w:val="21"/>
        </w:rPr>
        <w:t>综合评分，推荐中标候选人。</w:t>
      </w:r>
    </w:p>
    <w:p>
      <w:pPr>
        <w:pStyle w:val="15"/>
        <w:adjustRightInd w:val="0"/>
        <w:snapToGrid w:val="0"/>
        <w:spacing w:line="360" w:lineRule="auto"/>
        <w:ind w:left="420" w:leftChars="200"/>
        <w:rPr>
          <w:rFonts w:hAnsi="宋体" w:eastAsiaTheme="minorEastAsia" w:cstheme="minorBidi"/>
          <w:b/>
          <w:kern w:val="0"/>
        </w:rPr>
      </w:pPr>
      <w:r>
        <w:rPr>
          <w:rFonts w:hint="eastAsia" w:hAnsi="宋体" w:eastAsiaTheme="minorEastAsia" w:cstheme="minorBidi"/>
          <w:b/>
          <w:kern w:val="0"/>
        </w:rPr>
        <w:t>3.2 第一信封形式、响应性评审</w:t>
      </w:r>
    </w:p>
    <w:p>
      <w:pPr>
        <w:pStyle w:val="15"/>
        <w:adjustRightInd w:val="0"/>
        <w:snapToGrid w:val="0"/>
        <w:spacing w:line="360" w:lineRule="auto"/>
        <w:ind w:firstLine="420" w:firstLineChars="200"/>
        <w:rPr>
          <w:rFonts w:ascii="Times New Roman" w:hAnsi="Times New Roman" w:cs="Times New Roman"/>
        </w:rPr>
      </w:pPr>
      <w:r>
        <w:rPr>
          <w:rFonts w:ascii="Times New Roman" w:hAnsi="Times New Roman" w:cs="Times New Roman"/>
        </w:rPr>
        <w:t>评标委员会依据本章</w:t>
      </w:r>
      <w:r>
        <w:rPr>
          <w:rFonts w:hint="eastAsia" w:ascii="Times New Roman" w:hAnsi="Times New Roman" w:cs="Times New Roman"/>
        </w:rPr>
        <w:t>评审办法前附表1.</w:t>
      </w:r>
      <w:r>
        <w:rPr>
          <w:rFonts w:ascii="Times New Roman" w:hAnsi="Times New Roman" w:cs="Times New Roman"/>
        </w:rPr>
        <w:t>款规定的标准对投标文件</w:t>
      </w:r>
      <w:r>
        <w:rPr>
          <w:rFonts w:hint="eastAsia" w:ascii="Times New Roman" w:hAnsi="Times New Roman" w:cs="Times New Roman"/>
        </w:rPr>
        <w:t>第一信封</w:t>
      </w:r>
      <w:r>
        <w:rPr>
          <w:rFonts w:ascii="Times New Roman" w:hAnsi="Times New Roman" w:cs="Times New Roman"/>
        </w:rPr>
        <w:t>进行</w:t>
      </w:r>
      <w:r>
        <w:rPr>
          <w:rFonts w:hint="eastAsia" w:ascii="Times New Roman" w:hAnsi="Times New Roman" w:cs="Times New Roman"/>
        </w:rPr>
        <w:t>形式、响应性</w:t>
      </w:r>
      <w:r>
        <w:rPr>
          <w:rFonts w:ascii="Times New Roman" w:hAnsi="Times New Roman" w:cs="Times New Roman"/>
        </w:rPr>
        <w:t>评审。有一项不符合评审标准的，作</w:t>
      </w:r>
      <w:r>
        <w:rPr>
          <w:rFonts w:hint="eastAsia" w:ascii="Times New Roman" w:hAnsi="Times New Roman" w:cs="Times New Roman"/>
        </w:rPr>
        <w:t>否决投标</w:t>
      </w:r>
      <w:r>
        <w:rPr>
          <w:rFonts w:ascii="Times New Roman" w:hAnsi="Times New Roman" w:cs="Times New Roman"/>
        </w:rPr>
        <w:t>处理。</w:t>
      </w:r>
    </w:p>
    <w:p>
      <w:pPr>
        <w:pStyle w:val="15"/>
        <w:adjustRightInd w:val="0"/>
        <w:snapToGrid w:val="0"/>
        <w:spacing w:line="360" w:lineRule="auto"/>
        <w:ind w:left="420" w:leftChars="200"/>
        <w:rPr>
          <w:rFonts w:hAnsi="宋体" w:eastAsiaTheme="minorEastAsia" w:cstheme="minorBidi"/>
          <w:b/>
          <w:kern w:val="0"/>
        </w:rPr>
      </w:pPr>
      <w:r>
        <w:rPr>
          <w:rFonts w:hint="eastAsia" w:hAnsi="宋体" w:eastAsiaTheme="minorEastAsia" w:cstheme="minorBidi"/>
          <w:b/>
          <w:kern w:val="0"/>
        </w:rPr>
        <w:t>3.3 第一信封资格审查</w:t>
      </w:r>
    </w:p>
    <w:p>
      <w:pPr>
        <w:pStyle w:val="15"/>
        <w:adjustRightInd w:val="0"/>
        <w:snapToGrid w:val="0"/>
        <w:spacing w:line="360" w:lineRule="auto"/>
        <w:ind w:firstLine="420" w:firstLineChars="200"/>
        <w:rPr>
          <w:rFonts w:ascii="Times New Roman" w:hAnsi="Times New Roman" w:cs="Times New Roman"/>
        </w:rPr>
      </w:pPr>
      <w:r>
        <w:rPr>
          <w:rFonts w:ascii="Times New Roman" w:hAnsi="Times New Roman" w:cs="Times New Roman"/>
        </w:rPr>
        <w:t>评标委员会依据本章</w:t>
      </w:r>
      <w:r>
        <w:rPr>
          <w:rFonts w:hint="eastAsia" w:ascii="Times New Roman" w:hAnsi="Times New Roman" w:cs="Times New Roman"/>
        </w:rPr>
        <w:t>评审办法前附表</w:t>
      </w:r>
      <w:r>
        <w:rPr>
          <w:rFonts w:ascii="Times New Roman" w:hAnsi="Times New Roman" w:cs="Times New Roman"/>
        </w:rPr>
        <w:t>第2.款规定的标准对投标文件</w:t>
      </w:r>
      <w:r>
        <w:rPr>
          <w:rFonts w:hint="eastAsia" w:ascii="Times New Roman" w:hAnsi="Times New Roman" w:cs="Times New Roman"/>
        </w:rPr>
        <w:t>第一信封</w:t>
      </w:r>
      <w:r>
        <w:rPr>
          <w:rFonts w:ascii="Times New Roman" w:hAnsi="Times New Roman" w:cs="Times New Roman"/>
        </w:rPr>
        <w:t>进行</w:t>
      </w:r>
      <w:r>
        <w:rPr>
          <w:rFonts w:hint="eastAsia" w:ascii="Times New Roman" w:hAnsi="Times New Roman" w:cs="Times New Roman"/>
        </w:rPr>
        <w:t>资格</w:t>
      </w:r>
      <w:r>
        <w:rPr>
          <w:rFonts w:ascii="Times New Roman" w:hAnsi="Times New Roman" w:cs="Times New Roman"/>
        </w:rPr>
        <w:t>审</w:t>
      </w:r>
      <w:r>
        <w:rPr>
          <w:rFonts w:hint="eastAsia" w:ascii="Times New Roman" w:hAnsi="Times New Roman" w:cs="Times New Roman"/>
        </w:rPr>
        <w:t>查</w:t>
      </w:r>
      <w:r>
        <w:rPr>
          <w:rFonts w:ascii="Times New Roman" w:hAnsi="Times New Roman" w:cs="Times New Roman"/>
        </w:rPr>
        <w:t>。有一项不符合评审标准的，作</w:t>
      </w:r>
      <w:r>
        <w:rPr>
          <w:rFonts w:hint="eastAsia" w:ascii="Times New Roman" w:hAnsi="Times New Roman" w:cs="Times New Roman"/>
        </w:rPr>
        <w:t>否决投标</w:t>
      </w:r>
      <w:r>
        <w:rPr>
          <w:rFonts w:ascii="Times New Roman" w:hAnsi="Times New Roman" w:cs="Times New Roman"/>
        </w:rPr>
        <w:t>处理。</w:t>
      </w:r>
    </w:p>
    <w:p>
      <w:pPr>
        <w:pStyle w:val="15"/>
        <w:adjustRightInd w:val="0"/>
        <w:snapToGrid w:val="0"/>
        <w:spacing w:line="360" w:lineRule="auto"/>
        <w:ind w:left="420" w:leftChars="200"/>
        <w:rPr>
          <w:rFonts w:ascii="Times New Roman" w:hAnsi="Times New Roman" w:cs="Times New Roman"/>
        </w:rPr>
      </w:pPr>
      <w:r>
        <w:rPr>
          <w:rFonts w:hint="eastAsia" w:hAnsi="宋体" w:eastAsiaTheme="minorEastAsia" w:cstheme="minorBidi"/>
          <w:b/>
          <w:kern w:val="0"/>
        </w:rPr>
        <w:t>3.4第一信封的澄清和补正</w:t>
      </w:r>
    </w:p>
    <w:p>
      <w:pPr>
        <w:pStyle w:val="15"/>
        <w:adjustRightInd w:val="0"/>
        <w:snapToGrid w:val="0"/>
        <w:spacing w:line="360" w:lineRule="auto"/>
        <w:ind w:firstLine="420" w:firstLineChars="2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4</w:t>
      </w:r>
      <w:r>
        <w:rPr>
          <w:rFonts w:ascii="Times New Roman" w:hAnsi="Times New Roman" w:cs="Times New Roman"/>
        </w:rPr>
        <w:t xml:space="preserve">.1在评标过程中，评标委员会可以书面形式要求投标人对所提交投标文件中不明确的内容进行书面澄清或说明，或者对细微偏差进行补正。评标委员会不接受投标人主动提出的澄清、说明或补正。  </w:t>
      </w:r>
    </w:p>
    <w:p>
      <w:pPr>
        <w:pStyle w:val="15"/>
        <w:adjustRightInd w:val="0"/>
        <w:snapToGrid w:val="0"/>
        <w:spacing w:line="360" w:lineRule="auto"/>
        <w:ind w:firstLine="420" w:firstLineChars="2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4</w:t>
      </w:r>
      <w:r>
        <w:rPr>
          <w:rFonts w:ascii="Times New Roman" w:hAnsi="Times New Roman" w:cs="Times New Roman"/>
        </w:rPr>
        <w:t xml:space="preserve">.2 澄清、说明和补正不得改变投标文件的实质性内容。投标人的书面澄清、说明和补正属于投标文件的组成部分。  </w:t>
      </w:r>
    </w:p>
    <w:p>
      <w:pPr>
        <w:pStyle w:val="15"/>
        <w:adjustRightInd w:val="0"/>
        <w:snapToGrid w:val="0"/>
        <w:spacing w:line="360" w:lineRule="auto"/>
        <w:ind w:firstLine="420" w:firstLineChars="200"/>
        <w:rPr>
          <w:rFonts w:ascii="Times New Roman" w:hAnsi="Times New Roman" w:cs="Times New Roman"/>
        </w:rPr>
      </w:pPr>
      <w:r>
        <w:rPr>
          <w:rFonts w:ascii="Times New Roman" w:hAnsi="Times New Roman" w:cs="Times New Roman"/>
        </w:rPr>
        <w:t>3.</w:t>
      </w:r>
      <w:r>
        <w:rPr>
          <w:rFonts w:hint="eastAsia" w:ascii="Times New Roman" w:hAnsi="Times New Roman" w:cs="Times New Roman"/>
        </w:rPr>
        <w:t>4</w:t>
      </w:r>
      <w:r>
        <w:rPr>
          <w:rFonts w:ascii="Times New Roman" w:hAnsi="Times New Roman" w:cs="Times New Roman"/>
        </w:rPr>
        <w:t>.3 评标委员会对投标人提交的澄清、说明或补正有疑问的，可以要求投标人进一步澄清、说明或补正，直至满足评标委员会的要求。</w:t>
      </w:r>
    </w:p>
    <w:p>
      <w:pPr>
        <w:pStyle w:val="15"/>
        <w:adjustRightInd w:val="0"/>
        <w:snapToGrid w:val="0"/>
        <w:spacing w:line="360" w:lineRule="auto"/>
        <w:ind w:firstLine="420" w:firstLineChars="200"/>
        <w:rPr>
          <w:rFonts w:ascii="Times New Roman" w:hAnsi="Times New Roman" w:cs="Times New Roman"/>
        </w:rPr>
      </w:pPr>
      <w:r>
        <w:rPr>
          <w:rFonts w:hint="eastAsia" w:ascii="Times New Roman" w:hAnsi="Times New Roman" w:cs="Times New Roman"/>
        </w:rPr>
        <w:t>3.4.4凡超出招标文件规定的或给招标人带来未曾要求的利益的变化、偏差或其他因素在评标时不予考虑。</w:t>
      </w:r>
    </w:p>
    <w:p>
      <w:pPr>
        <w:pStyle w:val="56"/>
        <w:tabs>
          <w:tab w:val="left" w:pos="5220"/>
          <w:tab w:val="left" w:pos="5400"/>
          <w:tab w:val="left" w:pos="5580"/>
        </w:tabs>
        <w:spacing w:line="360" w:lineRule="auto"/>
        <w:ind w:left="420" w:leftChars="200" w:right="325" w:rightChars="155" w:firstLine="0" w:firstLineChars="0"/>
        <w:rPr>
          <w:rFonts w:ascii="宋体" w:hAnsi="宋体"/>
          <w:b/>
          <w:kern w:val="0"/>
          <w:szCs w:val="21"/>
        </w:rPr>
      </w:pPr>
      <w:r>
        <w:rPr>
          <w:rFonts w:hint="eastAsia" w:ascii="宋体" w:hAnsi="宋体"/>
          <w:b/>
          <w:kern w:val="0"/>
          <w:szCs w:val="21"/>
        </w:rPr>
        <w:t>3.5 第一信封详细评审</w:t>
      </w:r>
    </w:p>
    <w:p>
      <w:pPr>
        <w:pStyle w:val="15"/>
        <w:adjustRightInd w:val="0"/>
        <w:snapToGrid w:val="0"/>
        <w:spacing w:line="360" w:lineRule="auto"/>
        <w:ind w:firstLine="420" w:firstLineChars="200"/>
        <w:rPr>
          <w:rFonts w:hAnsi="宋体"/>
          <w:szCs w:val="24"/>
        </w:rPr>
      </w:pPr>
      <w:r>
        <w:rPr>
          <w:rFonts w:hint="eastAsia" w:cs="宋体"/>
          <w:kern w:val="0"/>
        </w:rPr>
        <w:t>评标委员会</w:t>
      </w:r>
      <w:r>
        <w:rPr>
          <w:rFonts w:hint="eastAsia" w:hAnsi="宋体"/>
        </w:rPr>
        <w:t>对通过初步评审、资格审查的投标文件</w:t>
      </w:r>
      <w:r>
        <w:rPr>
          <w:rFonts w:hint="eastAsia" w:cs="宋体"/>
          <w:kern w:val="0"/>
        </w:rPr>
        <w:t>按</w:t>
      </w:r>
      <w:r>
        <w:rPr>
          <w:rFonts w:hint="eastAsia" w:ascii="Times New Roman" w:hAnsi="Times New Roman" w:cs="Times New Roman"/>
        </w:rPr>
        <w:t>评审办法前附表第</w:t>
      </w:r>
      <w:r>
        <w:rPr>
          <w:rFonts w:hint="eastAsia" w:cs="宋体"/>
          <w:kern w:val="0"/>
        </w:rPr>
        <w:t>3款规定</w:t>
      </w:r>
      <w:r>
        <w:rPr>
          <w:rFonts w:hint="eastAsia" w:hAnsi="宋体"/>
        </w:rPr>
        <w:t>进行第一信封详细评审（评分）</w:t>
      </w:r>
      <w:r>
        <w:rPr>
          <w:rFonts w:hint="eastAsia" w:hAnsi="宋体"/>
          <w:szCs w:val="24"/>
        </w:rPr>
        <w:t>。</w:t>
      </w:r>
    </w:p>
    <w:p>
      <w:pPr>
        <w:pStyle w:val="56"/>
        <w:tabs>
          <w:tab w:val="left" w:pos="5220"/>
          <w:tab w:val="left" w:pos="5400"/>
          <w:tab w:val="left" w:pos="5580"/>
        </w:tabs>
        <w:spacing w:line="360" w:lineRule="auto"/>
        <w:ind w:left="420" w:leftChars="200" w:right="325" w:rightChars="155" w:firstLine="0" w:firstLineChars="0"/>
        <w:rPr>
          <w:rFonts w:ascii="宋体" w:hAnsi="宋体"/>
          <w:b/>
          <w:kern w:val="0"/>
          <w:szCs w:val="21"/>
        </w:rPr>
      </w:pPr>
      <w:r>
        <w:rPr>
          <w:rFonts w:hint="eastAsia" w:ascii="宋体" w:hAnsi="宋体"/>
          <w:b/>
          <w:kern w:val="0"/>
          <w:szCs w:val="21"/>
        </w:rPr>
        <w:t>3.6第二信封开标</w:t>
      </w:r>
    </w:p>
    <w:p>
      <w:pPr>
        <w:pStyle w:val="15"/>
        <w:adjustRightInd w:val="0"/>
        <w:snapToGrid w:val="0"/>
        <w:spacing w:line="360" w:lineRule="auto"/>
        <w:ind w:firstLine="420" w:firstLineChars="200"/>
        <w:rPr>
          <w:rFonts w:hAnsi="宋体"/>
          <w:kern w:val="0"/>
        </w:rPr>
      </w:pPr>
      <w:r>
        <w:rPr>
          <w:rFonts w:hint="eastAsia" w:cs="宋体"/>
          <w:kern w:val="0"/>
        </w:rPr>
        <w:t>第一信封（商务及技术文件）评审结束后，招标人将进入投标文件第二信封（报价文件）评审的投标文件进行启封开标。</w:t>
      </w:r>
    </w:p>
    <w:p>
      <w:pPr>
        <w:pStyle w:val="56"/>
        <w:tabs>
          <w:tab w:val="left" w:pos="5220"/>
          <w:tab w:val="left" w:pos="5400"/>
          <w:tab w:val="left" w:pos="5580"/>
        </w:tabs>
        <w:spacing w:line="360" w:lineRule="auto"/>
        <w:ind w:left="420" w:leftChars="200" w:right="325" w:rightChars="155" w:firstLine="0" w:firstLineChars="0"/>
        <w:rPr>
          <w:rFonts w:ascii="宋体" w:hAnsi="宋体"/>
          <w:b/>
          <w:kern w:val="0"/>
          <w:szCs w:val="21"/>
        </w:rPr>
      </w:pPr>
      <w:r>
        <w:rPr>
          <w:rFonts w:hint="eastAsia" w:ascii="宋体" w:hAnsi="宋体"/>
          <w:b/>
          <w:kern w:val="0"/>
          <w:szCs w:val="21"/>
        </w:rPr>
        <w:t>3.7 第二信封初步评审</w:t>
      </w:r>
    </w:p>
    <w:p>
      <w:pPr>
        <w:pStyle w:val="56"/>
        <w:tabs>
          <w:tab w:val="left" w:pos="5220"/>
          <w:tab w:val="left" w:pos="5400"/>
          <w:tab w:val="left" w:pos="5580"/>
        </w:tabs>
        <w:spacing w:line="360" w:lineRule="auto"/>
        <w:ind w:right="325" w:rightChars="155"/>
        <w:rPr>
          <w:rFonts w:ascii="宋体" w:hAnsi="宋体"/>
          <w:kern w:val="0"/>
          <w:szCs w:val="21"/>
        </w:rPr>
      </w:pPr>
      <w:r>
        <w:rPr>
          <w:rFonts w:hint="eastAsia" w:ascii="宋体" w:hAnsi="宋体"/>
          <w:kern w:val="0"/>
          <w:szCs w:val="21"/>
        </w:rPr>
        <w:t>评标委员会对启封的投标文件第二信封（报价文件）进行初步评审，有一项不符合评审标准的，作否决投标处理。通过初步评审的标准见评标办法前附表第4款。</w:t>
      </w:r>
    </w:p>
    <w:p>
      <w:pPr>
        <w:tabs>
          <w:tab w:val="left" w:pos="5220"/>
          <w:tab w:val="left" w:pos="5400"/>
          <w:tab w:val="left" w:pos="5580"/>
        </w:tabs>
        <w:spacing w:line="360" w:lineRule="auto"/>
        <w:ind w:left="420" w:leftChars="200" w:right="325" w:rightChars="155"/>
        <w:rPr>
          <w:rFonts w:ascii="宋体" w:hAnsi="宋体"/>
          <w:b/>
          <w:kern w:val="0"/>
          <w:szCs w:val="21"/>
        </w:rPr>
      </w:pPr>
      <w:r>
        <w:rPr>
          <w:rFonts w:hint="eastAsia" w:ascii="宋体" w:hAnsi="宋体"/>
          <w:b/>
          <w:kern w:val="0"/>
          <w:szCs w:val="21"/>
        </w:rPr>
        <w:t>3.8 第二信封算术性修正</w:t>
      </w:r>
    </w:p>
    <w:p>
      <w:pPr>
        <w:pStyle w:val="15"/>
        <w:adjustRightInd w:val="0"/>
        <w:snapToGrid w:val="0"/>
        <w:spacing w:line="360" w:lineRule="auto"/>
        <w:ind w:firstLine="420" w:firstLineChars="200"/>
        <w:rPr>
          <w:rFonts w:ascii="Times New Roman" w:hAnsi="Times New Roman" w:cs="Times New Roman"/>
        </w:rPr>
      </w:pPr>
      <w:r>
        <w:rPr>
          <w:rFonts w:hint="eastAsia" w:ascii="Times New Roman" w:hAnsi="Times New Roman" w:cs="Times New Roman"/>
        </w:rPr>
        <w:t>投标文件投标函投标报价清单中的投标报价有不一致的，按以下原则对投标报价进行确认：</w:t>
      </w:r>
    </w:p>
    <w:p>
      <w:pPr>
        <w:pStyle w:val="15"/>
        <w:adjustRightInd w:val="0"/>
        <w:snapToGrid w:val="0"/>
        <w:spacing w:line="360" w:lineRule="auto"/>
        <w:ind w:left="420" w:leftChars="200"/>
        <w:rPr>
          <w:rFonts w:ascii="Times New Roman" w:hAnsi="Times New Roman" w:cs="Times New Roman"/>
        </w:rPr>
      </w:pPr>
      <w:r>
        <w:rPr>
          <w:rFonts w:hint="eastAsia" w:ascii="Times New Roman" w:hAnsi="Times New Roman" w:cs="Times New Roman"/>
        </w:rPr>
        <w:t>（1）投标函中的大写金额与小写金额不一致的，以大写金额为准；</w:t>
      </w:r>
    </w:p>
    <w:p>
      <w:pPr>
        <w:pStyle w:val="15"/>
        <w:adjustRightInd w:val="0"/>
        <w:snapToGrid w:val="0"/>
        <w:spacing w:line="360" w:lineRule="auto"/>
        <w:ind w:firstLine="420" w:firstLineChars="200"/>
        <w:rPr>
          <w:rFonts w:ascii="Times New Roman" w:hAnsi="Times New Roman" w:cs="Times New Roman"/>
        </w:rPr>
      </w:pPr>
      <w:r>
        <w:rPr>
          <w:rFonts w:hint="eastAsia" w:ascii="Times New Roman" w:hAnsi="Times New Roman" w:cs="Times New Roman"/>
        </w:rPr>
        <w:t xml:space="preserve">（2）投标函上的投标报价大写金额与投标报价清单中的投标报价不一致时，以投标函中的投标报价大写金额为准。 </w:t>
      </w:r>
    </w:p>
    <w:p>
      <w:pPr>
        <w:pStyle w:val="15"/>
        <w:adjustRightInd w:val="0"/>
        <w:snapToGrid w:val="0"/>
        <w:spacing w:line="360" w:lineRule="auto"/>
        <w:ind w:firstLine="420" w:firstLineChars="200"/>
        <w:rPr>
          <w:rFonts w:ascii="Times New Roman" w:hAnsi="Times New Roman" w:cs="Times New Roman"/>
        </w:rPr>
      </w:pPr>
      <w:r>
        <w:rPr>
          <w:rFonts w:hint="eastAsia" w:ascii="Times New Roman" w:hAnsi="Times New Roman" w:cs="Times New Roman"/>
        </w:rPr>
        <w:t>投标报价作为签订合同的一个依据。报价清单中的各子项累计后，与投标函中投标报价不一致时，以投标报价函中大写金额为准，在合同签订时按比例修正子项报价。</w:t>
      </w:r>
    </w:p>
    <w:p>
      <w:pPr>
        <w:autoSpaceDE w:val="0"/>
        <w:autoSpaceDN w:val="0"/>
        <w:adjustRightInd w:val="0"/>
        <w:spacing w:line="360" w:lineRule="auto"/>
        <w:ind w:left="420" w:leftChars="200"/>
        <w:jc w:val="left"/>
        <w:rPr>
          <w:rFonts w:ascii="宋体" w:hAnsi="宋体"/>
          <w:b/>
          <w:kern w:val="0"/>
          <w:szCs w:val="21"/>
        </w:rPr>
      </w:pPr>
      <w:r>
        <w:rPr>
          <w:rFonts w:hint="eastAsia" w:ascii="宋体" w:hAnsi="宋体"/>
          <w:b/>
          <w:kern w:val="0"/>
          <w:szCs w:val="21"/>
        </w:rPr>
        <w:t>3</w:t>
      </w:r>
      <w:r>
        <w:rPr>
          <w:rFonts w:ascii="宋体" w:hAnsi="宋体"/>
          <w:b/>
          <w:kern w:val="0"/>
          <w:szCs w:val="21"/>
        </w:rPr>
        <w:t>.</w:t>
      </w:r>
      <w:r>
        <w:rPr>
          <w:rFonts w:hint="eastAsia" w:ascii="宋体" w:hAnsi="宋体"/>
          <w:b/>
          <w:kern w:val="0"/>
          <w:szCs w:val="21"/>
        </w:rPr>
        <w:t>9</w:t>
      </w:r>
      <w:r>
        <w:rPr>
          <w:rFonts w:ascii="宋体" w:hAnsi="宋体"/>
          <w:b/>
          <w:kern w:val="0"/>
          <w:szCs w:val="21"/>
        </w:rPr>
        <w:t xml:space="preserve"> </w:t>
      </w:r>
      <w:r>
        <w:rPr>
          <w:rFonts w:hint="eastAsia" w:ascii="宋体" w:hAnsi="宋体"/>
          <w:b/>
          <w:kern w:val="0"/>
          <w:szCs w:val="21"/>
        </w:rPr>
        <w:t>第二信封详细评审</w:t>
      </w:r>
    </w:p>
    <w:p>
      <w:pPr>
        <w:autoSpaceDE w:val="0"/>
        <w:autoSpaceDN w:val="0"/>
        <w:adjustRightInd w:val="0"/>
        <w:spacing w:line="360" w:lineRule="auto"/>
        <w:ind w:left="420" w:leftChars="200"/>
        <w:jc w:val="left"/>
        <w:rPr>
          <w:rFonts w:ascii="宋体" w:cs="宋体"/>
          <w:kern w:val="0"/>
          <w:szCs w:val="21"/>
        </w:rPr>
      </w:pPr>
      <w:r>
        <w:rPr>
          <w:rFonts w:hint="eastAsia" w:ascii="宋体" w:cs="宋体"/>
          <w:kern w:val="0"/>
          <w:szCs w:val="21"/>
        </w:rPr>
        <w:t>评标委员会按评标办法前附表第5款的规定</w:t>
      </w:r>
      <w:r>
        <w:rPr>
          <w:rFonts w:hint="eastAsia" w:hAnsi="宋体"/>
        </w:rPr>
        <w:t>进行第二信封详细评审（报价评分）。</w:t>
      </w:r>
    </w:p>
    <w:p>
      <w:pPr>
        <w:pStyle w:val="15"/>
        <w:adjustRightInd w:val="0"/>
        <w:snapToGrid w:val="0"/>
        <w:spacing w:line="360" w:lineRule="auto"/>
        <w:ind w:left="420" w:leftChars="200"/>
        <w:rPr>
          <w:rFonts w:ascii="Times New Roman" w:hAnsi="Times New Roman" w:cs="Times New Roman"/>
        </w:rPr>
      </w:pPr>
      <w:r>
        <w:rPr>
          <w:rFonts w:hint="eastAsia" w:hAnsi="宋体" w:eastAsiaTheme="minorEastAsia" w:cstheme="minorBidi"/>
          <w:b/>
          <w:kern w:val="0"/>
        </w:rPr>
        <w:t>3.10投标人有以下情形之一的，其投标作否决投标处理：</w:t>
      </w:r>
      <w:r>
        <w:rPr>
          <w:rFonts w:ascii="Times New Roman" w:hAnsi="Times New Roman" w:cs="Times New Roman"/>
        </w:rPr>
        <w:t xml:space="preserve">  </w:t>
      </w:r>
    </w:p>
    <w:p>
      <w:pPr>
        <w:pStyle w:val="15"/>
        <w:adjustRightInd w:val="0"/>
        <w:snapToGrid w:val="0"/>
        <w:spacing w:line="360" w:lineRule="auto"/>
        <w:ind w:left="420" w:leftChars="200"/>
        <w:rPr>
          <w:rFonts w:ascii="Times New Roman" w:hAnsi="Times New Roman" w:cs="Times New Roman"/>
        </w:rPr>
      </w:pPr>
      <w:r>
        <w:rPr>
          <w:rFonts w:ascii="Times New Roman" w:hAnsi="Times New Roman" w:cs="Times New Roman"/>
        </w:rPr>
        <w:t>（1）串通投标或弄虚作假或有其他违法行为的； </w:t>
      </w:r>
    </w:p>
    <w:p>
      <w:pPr>
        <w:pStyle w:val="15"/>
        <w:adjustRightInd w:val="0"/>
        <w:snapToGrid w:val="0"/>
        <w:spacing w:line="360" w:lineRule="auto"/>
        <w:ind w:left="420" w:leftChars="200"/>
        <w:rPr>
          <w:rFonts w:ascii="Times New Roman" w:hAnsi="Times New Roman" w:cs="Times New Roman"/>
        </w:rPr>
      </w:pPr>
      <w:r>
        <w:rPr>
          <w:rFonts w:ascii="Times New Roman" w:hAnsi="Times New Roman" w:cs="Times New Roman"/>
        </w:rPr>
        <w:t>（</w:t>
      </w:r>
      <w:r>
        <w:rPr>
          <w:rFonts w:hint="eastAsia" w:ascii="Times New Roman" w:hAnsi="Times New Roman" w:cs="Times New Roman"/>
        </w:rPr>
        <w:t>2</w:t>
      </w:r>
      <w:r>
        <w:rPr>
          <w:rFonts w:ascii="Times New Roman" w:hAnsi="Times New Roman" w:cs="Times New Roman"/>
        </w:rPr>
        <w:t>）不按评标委员会要求澄清、说明或补正的。</w:t>
      </w:r>
    </w:p>
    <w:p>
      <w:pPr>
        <w:pStyle w:val="15"/>
        <w:adjustRightInd w:val="0"/>
        <w:snapToGrid w:val="0"/>
        <w:spacing w:line="360" w:lineRule="auto"/>
        <w:ind w:left="420" w:leftChars="200"/>
        <w:rPr>
          <w:rFonts w:ascii="Times New Roman" w:hAnsi="Times New Roman" w:eastAsia="黑体" w:cs="Times New Roman"/>
          <w:sz w:val="24"/>
          <w:szCs w:val="24"/>
        </w:rPr>
      </w:pPr>
      <w:r>
        <w:rPr>
          <w:rFonts w:hint="eastAsia" w:hAnsi="宋体" w:eastAsiaTheme="minorEastAsia" w:cstheme="minorBidi"/>
          <w:b/>
          <w:kern w:val="0"/>
        </w:rPr>
        <w:t>3.11综合评分</w:t>
      </w:r>
    </w:p>
    <w:p>
      <w:pPr>
        <w:pStyle w:val="15"/>
        <w:adjustRightInd w:val="0"/>
        <w:snapToGrid w:val="0"/>
        <w:spacing w:line="360" w:lineRule="auto"/>
        <w:ind w:left="420" w:leftChars="200"/>
        <w:rPr>
          <w:rFonts w:ascii="Times New Roman" w:hAnsi="Times New Roman" w:cs="Times New Roman"/>
        </w:rPr>
      </w:pPr>
      <w:r>
        <w:rPr>
          <w:rFonts w:hint="eastAsia" w:ascii="Times New Roman" w:hAnsi="Times New Roman" w:cs="Times New Roman"/>
        </w:rPr>
        <w:t>（1）</w:t>
      </w:r>
      <w:r>
        <w:rPr>
          <w:rFonts w:ascii="Times New Roman" w:hAnsi="Times New Roman" w:cs="Times New Roman"/>
        </w:rPr>
        <w:t>评标委员会按</w:t>
      </w:r>
      <w:r>
        <w:rPr>
          <w:rFonts w:hint="eastAsia" w:cs="宋体"/>
          <w:kern w:val="0"/>
        </w:rPr>
        <w:t>评标办法前附表第3.11款</w:t>
      </w:r>
      <w:r>
        <w:rPr>
          <w:rFonts w:ascii="Times New Roman" w:hAnsi="Times New Roman" w:cs="Times New Roman"/>
        </w:rPr>
        <w:t>规定计算出综合</w:t>
      </w:r>
      <w:r>
        <w:rPr>
          <w:rFonts w:hint="eastAsia" w:ascii="Times New Roman" w:hAnsi="Times New Roman" w:cs="Times New Roman"/>
        </w:rPr>
        <w:t>评分</w:t>
      </w:r>
      <w:r>
        <w:rPr>
          <w:rFonts w:ascii="Times New Roman" w:hAnsi="Times New Roman" w:cs="Times New Roman"/>
        </w:rPr>
        <w:t>。</w:t>
      </w:r>
    </w:p>
    <w:p>
      <w:pPr>
        <w:pStyle w:val="15"/>
        <w:adjustRightInd w:val="0"/>
        <w:snapToGrid w:val="0"/>
        <w:spacing w:line="360" w:lineRule="auto"/>
        <w:ind w:left="420" w:leftChars="200"/>
        <w:rPr>
          <w:rFonts w:ascii="Times New Roman" w:hAnsi="Times New Roman" w:cs="Times New Roman"/>
        </w:rPr>
      </w:pPr>
      <w:r>
        <w:rPr>
          <w:rFonts w:hint="eastAsia" w:ascii="Times New Roman" w:hAnsi="Times New Roman" w:cs="Times New Roman"/>
        </w:rPr>
        <w:t>（2）</w:t>
      </w:r>
      <w:r>
        <w:rPr>
          <w:rFonts w:ascii="Times New Roman" w:hAnsi="Times New Roman" w:cs="Times New Roman"/>
        </w:rPr>
        <w:t> 评分分值计算保留小数点后两位，小数点后第三位“四舍五入”。</w:t>
      </w:r>
    </w:p>
    <w:p>
      <w:pPr>
        <w:pStyle w:val="15"/>
        <w:adjustRightInd w:val="0"/>
        <w:snapToGrid w:val="0"/>
        <w:spacing w:line="360" w:lineRule="auto"/>
      </w:pPr>
      <w:r>
        <w:rPr>
          <w:rFonts w:hint="eastAsia" w:ascii="Times New Roman" w:hAnsi="Times New Roman" w:eastAsia="黑体" w:cs="Times New Roman"/>
          <w:sz w:val="24"/>
          <w:szCs w:val="24"/>
        </w:rPr>
        <w:t xml:space="preserve">   </w:t>
      </w:r>
    </w:p>
    <w:p>
      <w:pPr>
        <w:pStyle w:val="5"/>
        <w:jc w:val="center"/>
        <w:rPr>
          <w:sz w:val="36"/>
          <w:szCs w:val="36"/>
        </w:rPr>
      </w:pPr>
      <w:r>
        <w:rPr>
          <w:rFonts w:hint="eastAsia"/>
          <w:sz w:val="36"/>
          <w:szCs w:val="36"/>
        </w:rPr>
        <w:t>第四章  比选申请文件格式</w:t>
      </w:r>
      <w:bookmarkEnd w:id="28"/>
      <w:bookmarkEnd w:id="31"/>
      <w:bookmarkEnd w:id="32"/>
      <w:bookmarkEnd w:id="33"/>
      <w:bookmarkEnd w:id="34"/>
      <w:bookmarkEnd w:id="35"/>
      <w:bookmarkEnd w:id="36"/>
      <w:bookmarkEnd w:id="37"/>
      <w:bookmarkEnd w:id="38"/>
      <w:bookmarkEnd w:id="39"/>
      <w:bookmarkEnd w:id="40"/>
    </w:p>
    <w:p>
      <w:pPr>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比选申请文件封面</w:t>
      </w:r>
    </w:p>
    <w:p>
      <w:pPr>
        <w:spacing w:line="600" w:lineRule="exact"/>
        <w:jc w:val="center"/>
        <w:rPr>
          <w:rFonts w:ascii="仿宋_GB2312" w:hAnsi="仿宋_GB2312" w:eastAsia="仿宋_GB2312" w:cs="仿宋_GB2312"/>
          <w:sz w:val="28"/>
          <w:szCs w:val="24"/>
        </w:rPr>
      </w:pPr>
    </w:p>
    <w:p>
      <w:pPr>
        <w:spacing w:line="600" w:lineRule="exact"/>
        <w:rPr>
          <w:rFonts w:ascii="仿宋_GB2312" w:hAnsi="仿宋_GB2312" w:eastAsia="仿宋_GB2312" w:cs="仿宋_GB2312"/>
          <w:sz w:val="28"/>
          <w:szCs w:val="24"/>
        </w:rPr>
      </w:pPr>
    </w:p>
    <w:p>
      <w:pPr>
        <w:widowControl/>
        <w:autoSpaceDE w:val="0"/>
        <w:autoSpaceDN w:val="0"/>
        <w:spacing w:line="600" w:lineRule="exact"/>
        <w:jc w:val="center"/>
        <w:textAlignment w:val="bottom"/>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四川成渝高速公路股份有限公司成渝分公司</w:t>
      </w:r>
    </w:p>
    <w:p>
      <w:pPr>
        <w:widowControl/>
        <w:autoSpaceDE w:val="0"/>
        <w:autoSpaceDN w:val="0"/>
        <w:spacing w:line="600" w:lineRule="exact"/>
        <w:jc w:val="center"/>
        <w:textAlignment w:val="bottom"/>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周期性安全咨询服务项目</w:t>
      </w:r>
    </w:p>
    <w:p>
      <w:pPr>
        <w:widowControl/>
        <w:autoSpaceDE w:val="0"/>
        <w:autoSpaceDN w:val="0"/>
        <w:spacing w:line="600" w:lineRule="exact"/>
        <w:textAlignment w:val="bottom"/>
        <w:rPr>
          <w:rFonts w:ascii="仿宋_GB2312" w:hAnsi="仿宋_GB2312" w:eastAsia="仿宋_GB2312" w:cs="仿宋_GB2312"/>
          <w:sz w:val="28"/>
          <w:szCs w:val="24"/>
        </w:rPr>
      </w:pPr>
    </w:p>
    <w:p>
      <w:pPr>
        <w:widowControl/>
        <w:autoSpaceDE w:val="0"/>
        <w:autoSpaceDN w:val="0"/>
        <w:spacing w:line="600" w:lineRule="exact"/>
        <w:jc w:val="center"/>
        <w:textAlignment w:val="bottom"/>
        <w:rPr>
          <w:rFonts w:ascii="仿宋_GB2312" w:hAnsi="仿宋_GB2312" w:eastAsia="仿宋_GB2312" w:cs="仿宋_GB2312"/>
          <w:sz w:val="28"/>
          <w:szCs w:val="24"/>
        </w:rPr>
      </w:pPr>
    </w:p>
    <w:p>
      <w:pPr>
        <w:widowControl/>
        <w:autoSpaceDE w:val="0"/>
        <w:autoSpaceDN w:val="0"/>
        <w:spacing w:line="600" w:lineRule="exact"/>
        <w:jc w:val="center"/>
        <w:textAlignment w:val="bottom"/>
        <w:rPr>
          <w:rFonts w:ascii="仿宋_GB2312" w:hAnsi="仿宋_GB2312" w:eastAsia="仿宋_GB2312" w:cs="仿宋_GB2312"/>
          <w:sz w:val="28"/>
          <w:szCs w:val="24"/>
        </w:rPr>
      </w:pPr>
    </w:p>
    <w:p>
      <w:pPr>
        <w:widowControl/>
        <w:autoSpaceDE w:val="0"/>
        <w:autoSpaceDN w:val="0"/>
        <w:spacing w:line="600" w:lineRule="exact"/>
        <w:jc w:val="center"/>
        <w:textAlignment w:val="bottom"/>
        <w:rPr>
          <w:rFonts w:ascii="仿宋_GB2312" w:hAnsi="仿宋_GB2312" w:eastAsia="仿宋_GB2312" w:cs="仿宋_GB2312"/>
          <w:sz w:val="30"/>
          <w:szCs w:val="30"/>
        </w:rPr>
      </w:pPr>
    </w:p>
    <w:p>
      <w:pPr>
        <w:widowControl/>
        <w:autoSpaceDE w:val="0"/>
        <w:autoSpaceDN w:val="0"/>
        <w:spacing w:before="240" w:line="600" w:lineRule="exact"/>
        <w:jc w:val="center"/>
        <w:textAlignment w:val="bottom"/>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比 选 申 请 文 件</w:t>
      </w:r>
    </w:p>
    <w:p>
      <w:pPr>
        <w:spacing w:line="6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第一信封（商务技术文件）</w:t>
      </w:r>
    </w:p>
    <w:p>
      <w:pPr>
        <w:spacing w:line="600" w:lineRule="exact"/>
        <w:jc w:val="center"/>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p>
    <w:p>
      <w:pPr>
        <w:spacing w:line="600" w:lineRule="exact"/>
        <w:ind w:firstLine="2250" w:firstLineChars="750"/>
        <w:jc w:val="left"/>
        <w:rPr>
          <w:rFonts w:ascii="仿宋_GB2312" w:hAnsi="仿宋_GB2312" w:eastAsia="仿宋_GB2312" w:cs="仿宋_GB2312"/>
          <w:sz w:val="30"/>
          <w:szCs w:val="30"/>
        </w:rPr>
      </w:pPr>
    </w:p>
    <w:p>
      <w:pPr>
        <w:spacing w:line="600" w:lineRule="exact"/>
        <w:ind w:firstLine="2250" w:firstLineChars="750"/>
        <w:jc w:val="left"/>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比 选 申 请 人：        （单位名称）（公章） </w:t>
      </w:r>
    </w:p>
    <w:p>
      <w:pPr>
        <w:spacing w:before="120" w:beforeLines="50" w:line="6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w:t>
      </w:r>
    </w:p>
    <w:p>
      <w:pPr>
        <w:widowControl/>
        <w:spacing w:line="600" w:lineRule="exact"/>
        <w:ind w:firstLine="770" w:firstLineChars="175"/>
        <w:jc w:val="center"/>
        <w:rPr>
          <w:rFonts w:ascii="仿宋_GB2312" w:hAnsi="仿宋_GB2312" w:eastAsia="仿宋_GB2312" w:cs="仿宋_GB2312"/>
          <w:sz w:val="44"/>
          <w:szCs w:val="44"/>
        </w:rPr>
      </w:pPr>
      <w:bookmarkStart w:id="41" w:name="_Toc456166141"/>
      <w:bookmarkStart w:id="42" w:name="_Toc455607504"/>
    </w:p>
    <w:p>
      <w:pPr>
        <w:widowControl/>
        <w:spacing w:line="600" w:lineRule="exact"/>
        <w:ind w:firstLine="770" w:firstLineChars="175"/>
        <w:jc w:val="center"/>
        <w:rPr>
          <w:rFonts w:ascii="仿宋_GB2312" w:hAnsi="仿宋_GB2312" w:eastAsia="仿宋_GB2312" w:cs="仿宋_GB2312"/>
          <w:sz w:val="44"/>
          <w:szCs w:val="44"/>
        </w:rPr>
      </w:pPr>
      <w:r>
        <w:rPr>
          <w:rFonts w:hint="eastAsia" w:ascii="仿宋_GB2312" w:hAnsi="仿宋_GB2312" w:eastAsia="仿宋_GB2312" w:cs="仿宋_GB2312"/>
          <w:sz w:val="44"/>
          <w:szCs w:val="44"/>
        </w:rPr>
        <w:t>目   录</w:t>
      </w:r>
    </w:p>
    <w:p>
      <w:pPr>
        <w:numPr>
          <w:ilvl w:val="0"/>
          <w:numId w:val="4"/>
        </w:numPr>
        <w:spacing w:line="600" w:lineRule="exact"/>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比选申请函</w:t>
      </w:r>
    </w:p>
    <w:p>
      <w:pPr>
        <w:numPr>
          <w:ilvl w:val="0"/>
          <w:numId w:val="4"/>
        </w:numPr>
        <w:spacing w:line="600" w:lineRule="exact"/>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比选申请人基本情况</w:t>
      </w:r>
    </w:p>
    <w:p>
      <w:pPr>
        <w:numPr>
          <w:ilvl w:val="0"/>
          <w:numId w:val="4"/>
        </w:numPr>
        <w:spacing w:line="600" w:lineRule="exact"/>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法定代表人身份证明或授权委托书</w:t>
      </w:r>
    </w:p>
    <w:p>
      <w:pPr>
        <w:numPr>
          <w:ilvl w:val="0"/>
          <w:numId w:val="4"/>
        </w:numPr>
        <w:spacing w:line="600" w:lineRule="exact"/>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服务承诺书格式</w:t>
      </w:r>
    </w:p>
    <w:p>
      <w:pPr>
        <w:numPr>
          <w:ilvl w:val="0"/>
          <w:numId w:val="4"/>
        </w:numPr>
        <w:spacing w:line="600" w:lineRule="exact"/>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资格审查相关资料</w:t>
      </w:r>
    </w:p>
    <w:p>
      <w:pPr>
        <w:numPr>
          <w:ilvl w:val="0"/>
          <w:numId w:val="4"/>
        </w:numPr>
        <w:spacing w:line="600" w:lineRule="exact"/>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拟任项目组主要人员</w:t>
      </w:r>
    </w:p>
    <w:p>
      <w:pPr>
        <w:numPr>
          <w:ilvl w:val="0"/>
          <w:numId w:val="4"/>
        </w:numPr>
        <w:spacing w:line="600" w:lineRule="exact"/>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咨询服务方案</w:t>
      </w:r>
    </w:p>
    <w:p>
      <w:pPr>
        <w:numPr>
          <w:ilvl w:val="255"/>
          <w:numId w:val="0"/>
        </w:numPr>
        <w:spacing w:line="600" w:lineRule="exact"/>
        <w:ind w:firstLine="560" w:firstLineChars="200"/>
        <w:rPr>
          <w:rFonts w:ascii="仿宋_GB2312" w:hAnsi="仿宋_GB2312" w:eastAsia="仿宋_GB2312" w:cs="仿宋_GB2312"/>
          <w:sz w:val="28"/>
          <w:szCs w:val="24"/>
        </w:rPr>
        <w:sectPr>
          <w:footerReference r:id="rId5" w:type="default"/>
          <w:pgSz w:w="11911" w:h="16838"/>
          <w:pgMar w:top="1474" w:right="1474" w:bottom="1474" w:left="1474" w:header="799" w:footer="918" w:gutter="0"/>
          <w:pgNumType w:start="1"/>
          <w:cols w:space="0" w:num="1"/>
        </w:sectPr>
      </w:pPr>
      <w:r>
        <w:rPr>
          <w:rFonts w:hint="eastAsia" w:ascii="仿宋_GB2312" w:hAnsi="仿宋_GB2312" w:eastAsia="仿宋_GB2312" w:cs="仿宋_GB2312"/>
          <w:sz w:val="28"/>
          <w:szCs w:val="24"/>
        </w:rPr>
        <w:t>八、比选申请人提供的其他材料</w:t>
      </w:r>
    </w:p>
    <w:bookmarkEnd w:id="41"/>
    <w:bookmarkEnd w:id="42"/>
    <w:p>
      <w:pPr>
        <w:spacing w:line="360" w:lineRule="auto"/>
        <w:jc w:val="center"/>
        <w:outlineLvl w:val="1"/>
        <w:rPr>
          <w:b/>
          <w:sz w:val="32"/>
          <w:szCs w:val="32"/>
        </w:rPr>
      </w:pPr>
      <w:bookmarkStart w:id="43" w:name="_Toc10525"/>
      <w:bookmarkStart w:id="44" w:name="_Toc32305"/>
      <w:bookmarkStart w:id="45" w:name="_Toc28945"/>
      <w:bookmarkStart w:id="46" w:name="_Toc2248"/>
      <w:bookmarkStart w:id="47" w:name="_Toc13798"/>
      <w:bookmarkStart w:id="48" w:name="_Toc14556"/>
      <w:bookmarkStart w:id="49" w:name="_Toc26814"/>
      <w:bookmarkStart w:id="50" w:name="_Toc2803"/>
      <w:bookmarkStart w:id="51" w:name="_Toc2567"/>
      <w:bookmarkStart w:id="52" w:name="_Toc5807"/>
      <w:r>
        <w:rPr>
          <w:rFonts w:hint="eastAsia"/>
          <w:b/>
          <w:sz w:val="32"/>
          <w:szCs w:val="32"/>
        </w:rPr>
        <w:t>—、比选申请函</w:t>
      </w:r>
      <w:bookmarkEnd w:id="43"/>
      <w:r>
        <w:rPr>
          <w:rFonts w:hint="eastAsia"/>
          <w:b/>
          <w:sz w:val="32"/>
          <w:szCs w:val="32"/>
        </w:rPr>
        <w:t xml:space="preserve"> </w:t>
      </w:r>
    </w:p>
    <w:p>
      <w:pPr>
        <w:pStyle w:val="2"/>
      </w:pPr>
    </w:p>
    <w:p>
      <w:pPr>
        <w:spacing w:line="360" w:lineRule="auto"/>
        <w:rPr>
          <w:rFonts w:ascii="宋体" w:hAnsi="宋体" w:cs="黑体"/>
          <w:szCs w:val="21"/>
        </w:rPr>
      </w:pPr>
      <w:r>
        <w:rPr>
          <w:rFonts w:hint="eastAsia" w:ascii="宋体" w:hAnsi="宋体" w:cs="黑体"/>
          <w:szCs w:val="21"/>
          <w:u w:val="single"/>
        </w:rPr>
        <w:tab/>
      </w:r>
      <w:r>
        <w:rPr>
          <w:rFonts w:hint="eastAsia" w:ascii="宋体" w:hAnsi="宋体" w:cs="黑体"/>
          <w:szCs w:val="21"/>
          <w:u w:val="single"/>
        </w:rPr>
        <w:t xml:space="preserve">             </w:t>
      </w:r>
      <w:r>
        <w:rPr>
          <w:rFonts w:hint="eastAsia" w:ascii="宋体" w:hAnsi="宋体" w:cs="黑体"/>
          <w:szCs w:val="21"/>
        </w:rPr>
        <w:t>（比选人名称）：</w:t>
      </w:r>
    </w:p>
    <w:p>
      <w:pPr>
        <w:pStyle w:val="15"/>
        <w:spacing w:line="440" w:lineRule="exact"/>
        <w:ind w:firstLine="420" w:firstLineChars="200"/>
        <w:rPr>
          <w:rFonts w:hAnsi="宋体" w:cs="黑体"/>
        </w:rPr>
      </w:pPr>
      <w:r>
        <w:rPr>
          <w:rFonts w:hint="eastAsia" w:hAnsi="宋体" w:cs="黑体"/>
        </w:rPr>
        <w:t>我方在此声明：</w:t>
      </w:r>
    </w:p>
    <w:p>
      <w:pPr>
        <w:pStyle w:val="15"/>
        <w:spacing w:line="440" w:lineRule="exact"/>
        <w:ind w:firstLine="420" w:firstLineChars="200"/>
        <w:rPr>
          <w:rFonts w:hAnsi="宋体" w:cs="黑体"/>
        </w:rPr>
      </w:pPr>
      <w:r>
        <w:rPr>
          <w:rFonts w:hint="eastAsia" w:hAnsi="宋体" w:cs="黑体"/>
        </w:rPr>
        <w:t>(1)我们仔细阅读了</w:t>
      </w:r>
      <w:r>
        <w:rPr>
          <w:rFonts w:hint="eastAsia" w:hAnsi="宋体" w:cs="黑体"/>
          <w:u w:val="single"/>
        </w:rPr>
        <w:t xml:space="preserve"> </w:t>
      </w:r>
      <w:r>
        <w:rPr>
          <w:rFonts w:hAnsi="宋体" w:cs="黑体"/>
          <w:u w:val="single"/>
        </w:rPr>
        <w:t xml:space="preserve">                          </w:t>
      </w:r>
      <w:r>
        <w:rPr>
          <w:rFonts w:hint="eastAsia" w:hAnsi="宋体" w:cs="黑体"/>
        </w:rPr>
        <w:t>比选文件，包括</w:t>
      </w:r>
      <w:r>
        <w:rPr>
          <w:rFonts w:hint="eastAsia" w:hAnsi="宋体" w:cs="黑体"/>
          <w:u w:val="single"/>
        </w:rPr>
        <w:t xml:space="preserve">                </w:t>
      </w:r>
      <w:r>
        <w:rPr>
          <w:rFonts w:hint="eastAsia" w:hAnsi="宋体" w:cs="黑体"/>
        </w:rPr>
        <w:t xml:space="preserve"> (编号)补遗书，并对它们没有保留；</w:t>
      </w:r>
    </w:p>
    <w:p>
      <w:pPr>
        <w:pStyle w:val="15"/>
        <w:spacing w:line="440" w:lineRule="exact"/>
        <w:ind w:firstLine="420" w:firstLineChars="200"/>
        <w:rPr>
          <w:rFonts w:hAnsi="宋体" w:cs="黑体"/>
        </w:rPr>
      </w:pPr>
      <w:r>
        <w:rPr>
          <w:rFonts w:hint="eastAsia" w:hAnsi="宋体" w:cs="黑体"/>
        </w:rPr>
        <w:t>(2)我们将根据比选文件中的规定提供相关服务；</w:t>
      </w:r>
    </w:p>
    <w:p>
      <w:pPr>
        <w:pStyle w:val="15"/>
        <w:spacing w:line="440" w:lineRule="exact"/>
        <w:ind w:firstLine="420" w:firstLineChars="200"/>
        <w:rPr>
          <w:rFonts w:hAnsi="宋体" w:cs="黑体"/>
        </w:rPr>
      </w:pPr>
      <w:r>
        <w:rPr>
          <w:rFonts w:hint="eastAsia" w:hAnsi="宋体" w:cs="黑体"/>
        </w:rPr>
        <w:t>(3)我方的比选申请函在比选文件中规定的比选申请函送交截止日期起</w:t>
      </w:r>
      <w:r>
        <w:rPr>
          <w:rFonts w:hint="eastAsia" w:hAnsi="宋体" w:cs="黑体"/>
          <w:u w:val="single"/>
        </w:rPr>
        <w:t xml:space="preserve"> 60 </w:t>
      </w:r>
      <w:r>
        <w:rPr>
          <w:rFonts w:hint="eastAsia" w:hAnsi="宋体" w:cs="黑体"/>
        </w:rPr>
        <w:t>天的期限内保持有效，且对我方保持约束力，在该期限到期前的任何时间都可以被接受；</w:t>
      </w:r>
    </w:p>
    <w:p>
      <w:pPr>
        <w:pStyle w:val="15"/>
        <w:spacing w:line="440" w:lineRule="exact"/>
        <w:ind w:firstLine="420" w:firstLineChars="200"/>
        <w:rPr>
          <w:rFonts w:hAnsi="宋体" w:cs="黑体"/>
        </w:rPr>
      </w:pPr>
      <w:r>
        <w:rPr>
          <w:rFonts w:hint="eastAsia" w:hAnsi="宋体" w:cs="黑体"/>
        </w:rPr>
        <w:t xml:space="preserve"> (5)我们完全理解，在合同协议书正式签署之前，本比选申请函及贵方的书面中标通知书将构成我们双方之间共同遵守的文件，对双方具有约束力。</w:t>
      </w:r>
    </w:p>
    <w:p>
      <w:pPr>
        <w:pStyle w:val="15"/>
        <w:spacing w:line="440" w:lineRule="exact"/>
        <w:ind w:firstLine="420" w:firstLineChars="200"/>
        <w:rPr>
          <w:rFonts w:hAnsi="宋体" w:cs="黑体"/>
        </w:rPr>
      </w:pPr>
      <w:r>
        <w:rPr>
          <w:rFonts w:hint="eastAsia" w:hAnsi="宋体" w:cs="黑体"/>
        </w:rPr>
        <w:t>(6)我们完全理解，贵方不一定要接受最低报价的比选申请。同时也理解，你单位不负担我们的任何比选申请费用。</w:t>
      </w:r>
    </w:p>
    <w:p>
      <w:pPr>
        <w:spacing w:line="360" w:lineRule="auto"/>
        <w:ind w:firstLine="525" w:firstLineChars="250"/>
        <w:rPr>
          <w:rFonts w:ascii="宋体" w:hAnsi="宋体" w:cs="黑体"/>
          <w:szCs w:val="21"/>
        </w:rPr>
      </w:pPr>
    </w:p>
    <w:p>
      <w:pPr>
        <w:spacing w:line="360" w:lineRule="auto"/>
        <w:ind w:firstLine="525" w:firstLineChars="250"/>
        <w:rPr>
          <w:rFonts w:ascii="宋体" w:hAnsi="宋体" w:cs="黑体"/>
          <w:szCs w:val="21"/>
        </w:rPr>
      </w:pPr>
    </w:p>
    <w:p>
      <w:pPr>
        <w:wordWrap w:val="0"/>
        <w:spacing w:line="360" w:lineRule="auto"/>
        <w:jc w:val="right"/>
        <w:rPr>
          <w:rFonts w:ascii="宋体" w:hAnsi="宋体" w:cs="黑体"/>
          <w:szCs w:val="21"/>
        </w:rPr>
      </w:pPr>
      <w:r>
        <w:rPr>
          <w:rFonts w:hint="eastAsia" w:ascii="宋体" w:hAnsi="宋体" w:cs="黑体"/>
          <w:szCs w:val="21"/>
        </w:rPr>
        <w:t>比选申请人：</w:t>
      </w:r>
      <w:r>
        <w:rPr>
          <w:rFonts w:hint="eastAsia" w:ascii="宋体" w:hAnsi="宋体" w:cs="黑体"/>
          <w:szCs w:val="21"/>
          <w:u w:val="single"/>
        </w:rPr>
        <w:t xml:space="preserve">（全称）               </w:t>
      </w:r>
      <w:r>
        <w:rPr>
          <w:rFonts w:hint="eastAsia" w:ascii="宋体" w:hAnsi="宋体" w:cs="黑体"/>
          <w:szCs w:val="21"/>
        </w:rPr>
        <w:t>（盖单位章）</w:t>
      </w:r>
    </w:p>
    <w:p>
      <w:pPr>
        <w:wordWrap w:val="0"/>
        <w:spacing w:line="360" w:lineRule="auto"/>
        <w:jc w:val="right"/>
        <w:rPr>
          <w:rFonts w:ascii="宋体" w:hAnsi="宋体" w:cs="黑体"/>
          <w:szCs w:val="21"/>
        </w:rPr>
      </w:pPr>
      <w:r>
        <w:rPr>
          <w:rFonts w:hint="eastAsia" w:ascii="宋体" w:hAnsi="宋体" w:cs="黑体"/>
          <w:szCs w:val="21"/>
        </w:rPr>
        <w:t xml:space="preserve"> 法定代表人或其委托代理人：</w:t>
      </w:r>
      <w:r>
        <w:rPr>
          <w:rFonts w:hint="eastAsia" w:ascii="宋体" w:hAnsi="宋体" w:cs="黑体"/>
          <w:szCs w:val="21"/>
          <w:u w:val="single"/>
        </w:rPr>
        <w:t xml:space="preserve">          </w:t>
      </w:r>
      <w:r>
        <w:rPr>
          <w:rFonts w:hint="eastAsia" w:ascii="宋体" w:hAnsi="宋体" w:cs="黑体"/>
          <w:szCs w:val="21"/>
        </w:rPr>
        <w:t>（签字）</w:t>
      </w:r>
    </w:p>
    <w:p>
      <w:pPr>
        <w:wordWrap w:val="0"/>
        <w:spacing w:line="360" w:lineRule="auto"/>
        <w:jc w:val="right"/>
        <w:rPr>
          <w:rFonts w:ascii="宋体" w:hAnsi="宋体" w:cs="黑体"/>
          <w:szCs w:val="21"/>
          <w:u w:val="single"/>
        </w:rPr>
      </w:pPr>
      <w:r>
        <w:rPr>
          <w:rFonts w:hint="eastAsia" w:ascii="宋体" w:hAnsi="宋体" w:cs="黑体"/>
          <w:szCs w:val="21"/>
        </w:rPr>
        <w:t>地址：</w:t>
      </w:r>
      <w:r>
        <w:rPr>
          <w:rFonts w:hint="eastAsia" w:ascii="宋体" w:hAnsi="宋体" w:cs="黑体"/>
          <w:szCs w:val="21"/>
          <w:u w:val="single"/>
        </w:rPr>
        <w:t xml:space="preserve">                                 </w:t>
      </w:r>
    </w:p>
    <w:p>
      <w:pPr>
        <w:wordWrap w:val="0"/>
        <w:spacing w:line="360" w:lineRule="auto"/>
        <w:jc w:val="right"/>
        <w:rPr>
          <w:rFonts w:ascii="宋体" w:hAnsi="宋体" w:cs="黑体"/>
          <w:szCs w:val="21"/>
          <w:u w:val="single"/>
        </w:rPr>
      </w:pPr>
      <w:r>
        <w:rPr>
          <w:rFonts w:hint="eastAsia" w:ascii="宋体" w:hAnsi="宋体" w:cs="黑体"/>
          <w:szCs w:val="21"/>
        </w:rPr>
        <w:t>网址：</w:t>
      </w:r>
      <w:r>
        <w:rPr>
          <w:rFonts w:hint="eastAsia" w:ascii="宋体" w:hAnsi="宋体" w:cs="黑体"/>
          <w:szCs w:val="21"/>
          <w:u w:val="single"/>
        </w:rPr>
        <w:t xml:space="preserve">                                 </w:t>
      </w:r>
    </w:p>
    <w:p>
      <w:pPr>
        <w:wordWrap w:val="0"/>
        <w:spacing w:line="360" w:lineRule="auto"/>
        <w:jc w:val="right"/>
        <w:rPr>
          <w:rFonts w:ascii="宋体" w:hAnsi="宋体" w:cs="黑体"/>
          <w:szCs w:val="21"/>
          <w:u w:val="single"/>
        </w:rPr>
      </w:pPr>
      <w:r>
        <w:rPr>
          <w:rFonts w:hint="eastAsia" w:ascii="宋体" w:hAnsi="宋体" w:cs="黑体"/>
          <w:szCs w:val="21"/>
        </w:rPr>
        <w:t>电话：</w:t>
      </w:r>
      <w:r>
        <w:rPr>
          <w:rFonts w:hint="eastAsia" w:ascii="宋体" w:hAnsi="宋体" w:cs="黑体"/>
          <w:szCs w:val="21"/>
          <w:u w:val="single"/>
        </w:rPr>
        <w:t xml:space="preserve">                                 </w:t>
      </w:r>
    </w:p>
    <w:p>
      <w:pPr>
        <w:wordWrap w:val="0"/>
        <w:spacing w:line="360" w:lineRule="auto"/>
        <w:jc w:val="right"/>
        <w:rPr>
          <w:rFonts w:ascii="宋体" w:hAnsi="宋体" w:cs="黑体"/>
          <w:szCs w:val="21"/>
          <w:u w:val="single"/>
        </w:rPr>
      </w:pPr>
      <w:r>
        <w:rPr>
          <w:rFonts w:hint="eastAsia" w:ascii="宋体" w:hAnsi="宋体" w:cs="黑体"/>
          <w:szCs w:val="21"/>
        </w:rPr>
        <w:t>传真：</w:t>
      </w:r>
      <w:r>
        <w:rPr>
          <w:rFonts w:hint="eastAsia" w:ascii="宋体" w:hAnsi="宋体" w:cs="黑体"/>
          <w:szCs w:val="21"/>
          <w:u w:val="single"/>
        </w:rPr>
        <w:t xml:space="preserve">                                 </w:t>
      </w:r>
    </w:p>
    <w:p>
      <w:pPr>
        <w:wordWrap w:val="0"/>
        <w:spacing w:line="360" w:lineRule="auto"/>
        <w:jc w:val="right"/>
        <w:rPr>
          <w:rFonts w:ascii="宋体" w:hAnsi="宋体" w:cs="黑体"/>
          <w:szCs w:val="21"/>
          <w:u w:val="single"/>
        </w:rPr>
      </w:pPr>
      <w:r>
        <w:rPr>
          <w:rFonts w:hint="eastAsia" w:ascii="宋体" w:hAnsi="宋体" w:cs="黑体"/>
          <w:szCs w:val="21"/>
        </w:rPr>
        <w:t>邮政编码：</w:t>
      </w:r>
      <w:r>
        <w:rPr>
          <w:rFonts w:hint="eastAsia" w:ascii="宋体" w:hAnsi="宋体" w:cs="黑体"/>
          <w:szCs w:val="21"/>
          <w:u w:val="single"/>
        </w:rPr>
        <w:t xml:space="preserve">                                 </w:t>
      </w:r>
    </w:p>
    <w:p>
      <w:pPr>
        <w:pStyle w:val="15"/>
        <w:spacing w:line="440" w:lineRule="exact"/>
        <w:jc w:val="right"/>
        <w:rPr>
          <w:rFonts w:hAnsi="宋体" w:cs="黑体"/>
        </w:rPr>
      </w:pPr>
      <w:r>
        <w:rPr>
          <w:rFonts w:hint="eastAsia" w:hAnsi="宋体" w:cs="黑体"/>
          <w:u w:val="single"/>
        </w:rPr>
        <w:t xml:space="preserve">         </w:t>
      </w:r>
      <w:r>
        <w:rPr>
          <w:rFonts w:hint="eastAsia" w:hAnsi="宋体" w:cs="黑体"/>
        </w:rPr>
        <w:t>年</w:t>
      </w:r>
      <w:r>
        <w:rPr>
          <w:rFonts w:hint="eastAsia" w:hAnsi="宋体" w:cs="黑体"/>
          <w:u w:val="single"/>
        </w:rPr>
        <w:t xml:space="preserve">     </w:t>
      </w:r>
      <w:r>
        <w:rPr>
          <w:rFonts w:hint="eastAsia" w:hAnsi="宋体" w:cs="黑体"/>
        </w:rPr>
        <w:t>月</w:t>
      </w:r>
      <w:r>
        <w:rPr>
          <w:rFonts w:hint="eastAsia" w:hAnsi="宋体" w:cs="黑体"/>
          <w:u w:val="single"/>
        </w:rPr>
        <w:t xml:space="preserve">     </w:t>
      </w:r>
      <w:r>
        <w:rPr>
          <w:rFonts w:hint="eastAsia" w:hAnsi="宋体" w:cs="黑体"/>
        </w:rPr>
        <w:t>日</w:t>
      </w:r>
    </w:p>
    <w:p>
      <w:pPr>
        <w:pStyle w:val="15"/>
        <w:spacing w:line="440" w:lineRule="exact"/>
        <w:rPr>
          <w:b/>
          <w:sz w:val="32"/>
          <w:szCs w:val="32"/>
        </w:rPr>
      </w:pPr>
      <w:r>
        <w:rPr>
          <w:rFonts w:hint="eastAsia" w:hAnsi="宋体"/>
          <w:sz w:val="24"/>
        </w:rPr>
        <w:br w:type="page"/>
      </w:r>
    </w:p>
    <w:p>
      <w:pPr>
        <w:pStyle w:val="4"/>
        <w:spacing w:before="0" w:after="0" w:line="600" w:lineRule="exact"/>
        <w:rPr>
          <w:rFonts w:ascii="仿宋_GB2312" w:hAnsi="仿宋_GB2312" w:eastAsia="仿宋_GB2312" w:cs="仿宋_GB2312"/>
          <w:kern w:val="2"/>
          <w:sz w:val="28"/>
          <w:szCs w:val="24"/>
        </w:rPr>
      </w:pPr>
    </w:p>
    <w:p>
      <w:pPr>
        <w:pStyle w:val="4"/>
        <w:spacing w:before="0" w:after="0" w:line="600" w:lineRule="exact"/>
        <w:rPr>
          <w:rFonts w:ascii="仿宋_GB2312" w:hAnsi="仿宋_GB2312" w:eastAsia="仿宋_GB2312" w:cs="仿宋_GB2312"/>
          <w:kern w:val="2"/>
          <w:sz w:val="28"/>
          <w:szCs w:val="24"/>
        </w:rPr>
      </w:pPr>
      <w:r>
        <w:rPr>
          <w:rFonts w:hint="eastAsia" w:ascii="仿宋_GB2312" w:hAnsi="仿宋_GB2312" w:eastAsia="仿宋_GB2312" w:cs="仿宋_GB2312"/>
          <w:kern w:val="2"/>
          <w:sz w:val="28"/>
          <w:szCs w:val="24"/>
        </w:rPr>
        <w:t>二、比选申请人基本情况</w:t>
      </w:r>
    </w:p>
    <w:p>
      <w:pPr>
        <w:numPr>
          <w:ilvl w:val="255"/>
          <w:numId w:val="0"/>
        </w:numPr>
        <w:spacing w:line="60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1. 比选申请人基本情况一览表</w:t>
      </w:r>
    </w:p>
    <w:tbl>
      <w:tblPr>
        <w:tblStyle w:val="30"/>
        <w:tblpPr w:leftFromText="180" w:rightFromText="180" w:vertAnchor="text" w:horzAnchor="page" w:tblpX="1333" w:tblpY="90"/>
        <w:tblOverlap w:val="never"/>
        <w:tblW w:w="917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2251"/>
        <w:gridCol w:w="9"/>
        <w:gridCol w:w="3231"/>
        <w:gridCol w:w="1347"/>
        <w:gridCol w:w="23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34" w:hRule="exact"/>
        </w:trPr>
        <w:tc>
          <w:tcPr>
            <w:tcW w:w="2251" w:type="dxa"/>
            <w:tcBorders>
              <w:top w:val="single" w:color="auto" w:sz="4" w:space="0"/>
              <w:left w:val="single" w:color="auto" w:sz="4" w:space="0"/>
              <w:bottom w:val="single" w:color="auto" w:sz="4" w:space="0"/>
              <w:right w:val="single" w:color="auto" w:sz="4" w:space="0"/>
            </w:tcBorders>
          </w:tcPr>
          <w:p>
            <w:pPr>
              <w:numPr>
                <w:ilvl w:val="255"/>
                <w:numId w:val="0"/>
              </w:numPr>
              <w:spacing w:line="6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企业名称</w:t>
            </w:r>
          </w:p>
        </w:tc>
        <w:tc>
          <w:tcPr>
            <w:tcW w:w="6927" w:type="dxa"/>
            <w:gridSpan w:val="4"/>
            <w:tcBorders>
              <w:top w:val="single" w:color="auto" w:sz="4" w:space="0"/>
              <w:left w:val="single" w:color="auto" w:sz="4" w:space="0"/>
              <w:bottom w:val="single" w:color="auto" w:sz="4" w:space="0"/>
              <w:right w:val="single" w:color="auto" w:sz="4" w:space="0"/>
            </w:tcBorders>
          </w:tcPr>
          <w:p>
            <w:pPr>
              <w:numPr>
                <w:ilvl w:val="255"/>
                <w:numId w:val="0"/>
              </w:numPr>
              <w:spacing w:line="600" w:lineRule="exact"/>
              <w:rPr>
                <w:rFonts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exact"/>
        </w:trPr>
        <w:tc>
          <w:tcPr>
            <w:tcW w:w="2251" w:type="dxa"/>
            <w:tcBorders>
              <w:top w:val="single" w:color="auto" w:sz="4" w:space="0"/>
              <w:left w:val="single" w:color="auto" w:sz="4" w:space="0"/>
              <w:bottom w:val="single" w:color="auto" w:sz="4" w:space="0"/>
              <w:right w:val="single" w:color="auto" w:sz="4" w:space="0"/>
            </w:tcBorders>
          </w:tcPr>
          <w:p>
            <w:pPr>
              <w:numPr>
                <w:ilvl w:val="255"/>
                <w:numId w:val="0"/>
              </w:numPr>
              <w:spacing w:line="6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地址</w:t>
            </w:r>
          </w:p>
        </w:tc>
        <w:tc>
          <w:tcPr>
            <w:tcW w:w="6927" w:type="dxa"/>
            <w:gridSpan w:val="4"/>
            <w:tcBorders>
              <w:top w:val="single" w:color="auto" w:sz="4" w:space="0"/>
              <w:left w:val="single" w:color="auto" w:sz="4" w:space="0"/>
              <w:bottom w:val="single" w:color="auto" w:sz="4" w:space="0"/>
              <w:right w:val="single" w:color="auto" w:sz="4" w:space="0"/>
            </w:tcBorders>
          </w:tcPr>
          <w:p>
            <w:pPr>
              <w:numPr>
                <w:ilvl w:val="255"/>
                <w:numId w:val="0"/>
              </w:numPr>
              <w:spacing w:line="600" w:lineRule="exact"/>
              <w:rPr>
                <w:rFonts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exact"/>
        </w:trPr>
        <w:tc>
          <w:tcPr>
            <w:tcW w:w="2251" w:type="dxa"/>
            <w:tcBorders>
              <w:top w:val="single" w:color="auto" w:sz="4" w:space="0"/>
              <w:left w:val="single" w:color="auto" w:sz="4" w:space="0"/>
              <w:bottom w:val="single" w:color="auto" w:sz="4" w:space="0"/>
              <w:right w:val="single" w:color="auto" w:sz="4" w:space="0"/>
            </w:tcBorders>
          </w:tcPr>
          <w:p>
            <w:pPr>
              <w:numPr>
                <w:ilvl w:val="255"/>
                <w:numId w:val="0"/>
              </w:numPr>
              <w:spacing w:line="6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法定代表人</w:t>
            </w:r>
          </w:p>
        </w:tc>
        <w:tc>
          <w:tcPr>
            <w:tcW w:w="6927" w:type="dxa"/>
            <w:gridSpan w:val="4"/>
            <w:tcBorders>
              <w:top w:val="single" w:color="auto" w:sz="4" w:space="0"/>
              <w:left w:val="single" w:color="auto" w:sz="4" w:space="0"/>
              <w:bottom w:val="single" w:color="auto" w:sz="4" w:space="0"/>
              <w:right w:val="single" w:color="auto" w:sz="4" w:space="0"/>
            </w:tcBorders>
          </w:tcPr>
          <w:p>
            <w:pPr>
              <w:numPr>
                <w:ilvl w:val="255"/>
                <w:numId w:val="0"/>
              </w:numPr>
              <w:spacing w:line="600" w:lineRule="exact"/>
              <w:rPr>
                <w:rFonts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34" w:hRule="exact"/>
        </w:trPr>
        <w:tc>
          <w:tcPr>
            <w:tcW w:w="2251" w:type="dxa"/>
            <w:tcBorders>
              <w:top w:val="single" w:color="auto" w:sz="4" w:space="0"/>
              <w:left w:val="single" w:color="auto" w:sz="4" w:space="0"/>
              <w:bottom w:val="single" w:color="auto" w:sz="4" w:space="0"/>
              <w:right w:val="single" w:color="auto" w:sz="4" w:space="0"/>
            </w:tcBorders>
          </w:tcPr>
          <w:p>
            <w:pPr>
              <w:numPr>
                <w:ilvl w:val="255"/>
                <w:numId w:val="0"/>
              </w:numPr>
              <w:spacing w:line="6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企业类型</w:t>
            </w:r>
          </w:p>
        </w:tc>
        <w:tc>
          <w:tcPr>
            <w:tcW w:w="6927" w:type="dxa"/>
            <w:gridSpan w:val="4"/>
            <w:tcBorders>
              <w:top w:val="single" w:color="auto" w:sz="4" w:space="0"/>
              <w:left w:val="single" w:color="auto" w:sz="4" w:space="0"/>
              <w:bottom w:val="single" w:color="auto" w:sz="4" w:space="0"/>
              <w:right w:val="single" w:color="auto" w:sz="4" w:space="0"/>
            </w:tcBorders>
          </w:tcPr>
          <w:p>
            <w:pPr>
              <w:numPr>
                <w:ilvl w:val="255"/>
                <w:numId w:val="0"/>
              </w:numPr>
              <w:spacing w:line="600" w:lineRule="exact"/>
              <w:rPr>
                <w:rFonts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34" w:hRule="exact"/>
        </w:trPr>
        <w:tc>
          <w:tcPr>
            <w:tcW w:w="2251" w:type="dxa"/>
            <w:tcBorders>
              <w:top w:val="single" w:color="auto" w:sz="4" w:space="0"/>
              <w:left w:val="single" w:color="auto" w:sz="4" w:space="0"/>
              <w:bottom w:val="single" w:color="auto" w:sz="4" w:space="0"/>
              <w:right w:val="single" w:color="auto" w:sz="4" w:space="0"/>
            </w:tcBorders>
          </w:tcPr>
          <w:p>
            <w:pPr>
              <w:numPr>
                <w:ilvl w:val="255"/>
                <w:numId w:val="0"/>
              </w:numPr>
              <w:spacing w:line="6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经营范围</w:t>
            </w:r>
          </w:p>
        </w:tc>
        <w:tc>
          <w:tcPr>
            <w:tcW w:w="6927" w:type="dxa"/>
            <w:gridSpan w:val="4"/>
            <w:tcBorders>
              <w:top w:val="single" w:color="auto" w:sz="4" w:space="0"/>
              <w:left w:val="single" w:color="auto" w:sz="4" w:space="0"/>
              <w:bottom w:val="single" w:color="auto" w:sz="4" w:space="0"/>
              <w:right w:val="single" w:color="auto" w:sz="4" w:space="0"/>
            </w:tcBorders>
          </w:tcPr>
          <w:p>
            <w:pPr>
              <w:numPr>
                <w:ilvl w:val="255"/>
                <w:numId w:val="0"/>
              </w:numPr>
              <w:spacing w:line="600" w:lineRule="exact"/>
              <w:rPr>
                <w:rFonts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34" w:hRule="exact"/>
        </w:trPr>
        <w:tc>
          <w:tcPr>
            <w:tcW w:w="2260" w:type="dxa"/>
            <w:gridSpan w:val="2"/>
            <w:tcBorders>
              <w:top w:val="single" w:color="auto" w:sz="4" w:space="0"/>
              <w:left w:val="single" w:color="auto" w:sz="4" w:space="0"/>
              <w:bottom w:val="single" w:color="auto" w:sz="4" w:space="0"/>
              <w:right w:val="single" w:color="auto" w:sz="4" w:space="0"/>
            </w:tcBorders>
          </w:tcPr>
          <w:p>
            <w:pPr>
              <w:numPr>
                <w:ilvl w:val="255"/>
                <w:numId w:val="0"/>
              </w:numPr>
              <w:spacing w:line="6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营业执照号</w:t>
            </w:r>
          </w:p>
        </w:tc>
        <w:tc>
          <w:tcPr>
            <w:tcW w:w="3231" w:type="dxa"/>
            <w:tcBorders>
              <w:top w:val="single" w:color="auto" w:sz="4" w:space="0"/>
              <w:left w:val="single" w:color="auto" w:sz="4" w:space="0"/>
              <w:bottom w:val="single" w:color="auto" w:sz="4" w:space="0"/>
              <w:right w:val="single" w:color="auto" w:sz="4" w:space="0"/>
            </w:tcBorders>
          </w:tcPr>
          <w:p>
            <w:pPr>
              <w:numPr>
                <w:ilvl w:val="255"/>
                <w:numId w:val="0"/>
              </w:numPr>
              <w:spacing w:line="600" w:lineRule="exact"/>
              <w:rPr>
                <w:rFonts w:ascii="仿宋_GB2312" w:hAnsi="仿宋_GB2312" w:eastAsia="仿宋_GB2312" w:cs="仿宋_GB2312"/>
                <w:sz w:val="24"/>
                <w:szCs w:val="24"/>
              </w:rPr>
            </w:pPr>
          </w:p>
        </w:tc>
        <w:tc>
          <w:tcPr>
            <w:tcW w:w="1347" w:type="dxa"/>
            <w:tcBorders>
              <w:top w:val="single" w:color="auto" w:sz="4" w:space="0"/>
              <w:left w:val="single" w:color="auto" w:sz="4" w:space="0"/>
              <w:bottom w:val="single" w:color="auto" w:sz="4" w:space="0"/>
              <w:right w:val="single" w:color="auto" w:sz="4" w:space="0"/>
            </w:tcBorders>
          </w:tcPr>
          <w:p>
            <w:pPr>
              <w:numPr>
                <w:ilvl w:val="255"/>
                <w:numId w:val="0"/>
              </w:numPr>
              <w:spacing w:line="6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邮政编码</w:t>
            </w:r>
          </w:p>
        </w:tc>
        <w:tc>
          <w:tcPr>
            <w:tcW w:w="2340" w:type="dxa"/>
            <w:tcBorders>
              <w:top w:val="single" w:color="auto" w:sz="4" w:space="0"/>
              <w:left w:val="single" w:color="auto" w:sz="4" w:space="0"/>
              <w:bottom w:val="single" w:color="auto" w:sz="4" w:space="0"/>
              <w:right w:val="single" w:color="auto" w:sz="4" w:space="0"/>
            </w:tcBorders>
          </w:tcPr>
          <w:p>
            <w:pPr>
              <w:numPr>
                <w:ilvl w:val="255"/>
                <w:numId w:val="0"/>
              </w:numPr>
              <w:spacing w:line="600" w:lineRule="exact"/>
              <w:rPr>
                <w:rFonts w:ascii="仿宋_GB2312" w:hAnsi="仿宋_GB2312" w:eastAsia="仿宋_GB2312" w:cs="仿宋_GB2312"/>
                <w:sz w:val="24"/>
                <w:szCs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1134" w:hRule="exact"/>
        </w:trPr>
        <w:tc>
          <w:tcPr>
            <w:tcW w:w="2260" w:type="dxa"/>
            <w:gridSpan w:val="2"/>
            <w:tcBorders>
              <w:top w:val="single" w:color="auto" w:sz="4" w:space="0"/>
              <w:left w:val="single" w:color="auto" w:sz="4" w:space="0"/>
              <w:bottom w:val="single" w:color="auto" w:sz="4" w:space="0"/>
              <w:right w:val="single" w:color="auto" w:sz="4" w:space="0"/>
            </w:tcBorders>
          </w:tcPr>
          <w:p>
            <w:pPr>
              <w:numPr>
                <w:ilvl w:val="255"/>
                <w:numId w:val="0"/>
              </w:numPr>
              <w:spacing w:line="600" w:lineRule="exact"/>
              <w:rPr>
                <w:rFonts w:ascii="仿宋_GB2312" w:hAnsi="仿宋_GB2312" w:eastAsia="仿宋_GB2312" w:cs="仿宋_GB2312"/>
                <w:sz w:val="24"/>
                <w:szCs w:val="24"/>
              </w:rPr>
            </w:pPr>
            <w:r>
              <w:rPr>
                <w:rFonts w:hint="eastAsia" w:ascii="仿宋_GB2312" w:hAnsi="仿宋_GB2312" w:eastAsia="仿宋_GB2312" w:cs="仿宋_GB2312"/>
                <w:sz w:val="24"/>
                <w:szCs w:val="24"/>
              </w:rPr>
              <w:t>营业期限</w:t>
            </w:r>
          </w:p>
        </w:tc>
        <w:tc>
          <w:tcPr>
            <w:tcW w:w="6918" w:type="dxa"/>
            <w:gridSpan w:val="3"/>
            <w:tcBorders>
              <w:top w:val="single" w:color="auto" w:sz="4" w:space="0"/>
              <w:left w:val="single" w:color="auto" w:sz="4" w:space="0"/>
              <w:bottom w:val="single" w:color="auto" w:sz="4" w:space="0"/>
              <w:right w:val="single" w:color="auto" w:sz="4" w:space="0"/>
            </w:tcBorders>
          </w:tcPr>
          <w:p>
            <w:pPr>
              <w:numPr>
                <w:ilvl w:val="255"/>
                <w:numId w:val="0"/>
              </w:numPr>
              <w:spacing w:line="600" w:lineRule="exact"/>
              <w:rPr>
                <w:rFonts w:ascii="仿宋_GB2312" w:hAnsi="仿宋_GB2312" w:eastAsia="仿宋_GB2312" w:cs="仿宋_GB2312"/>
                <w:sz w:val="24"/>
                <w:szCs w:val="24"/>
              </w:rPr>
            </w:pPr>
          </w:p>
        </w:tc>
      </w:tr>
    </w:tbl>
    <w:p>
      <w:pPr>
        <w:numPr>
          <w:ilvl w:val="255"/>
          <w:numId w:val="0"/>
        </w:numPr>
        <w:rPr>
          <w:rFonts w:ascii="仿宋_GB2312" w:hAnsi="仿宋_GB2312" w:eastAsia="仿宋_GB2312" w:cs="仿宋_GB2312"/>
          <w:szCs w:val="21"/>
        </w:rPr>
      </w:pPr>
    </w:p>
    <w:p>
      <w:pPr>
        <w:numPr>
          <w:ilvl w:val="255"/>
          <w:numId w:val="0"/>
        </w:numPr>
        <w:rPr>
          <w:rFonts w:ascii="仿宋_GB2312" w:hAnsi="仿宋_GB2312" w:eastAsia="仿宋_GB2312" w:cs="仿宋_GB2312"/>
          <w:szCs w:val="21"/>
        </w:rPr>
      </w:pPr>
    </w:p>
    <w:p>
      <w:pPr>
        <w:numPr>
          <w:ilvl w:val="255"/>
          <w:numId w:val="0"/>
        </w:numPr>
        <w:rPr>
          <w:rFonts w:ascii="仿宋_GB2312" w:hAnsi="仿宋_GB2312" w:eastAsia="仿宋_GB2312" w:cs="仿宋_GB2312"/>
          <w:szCs w:val="21"/>
        </w:rPr>
      </w:pPr>
    </w:p>
    <w:p>
      <w:pPr>
        <w:numPr>
          <w:ilvl w:val="255"/>
          <w:numId w:val="0"/>
        </w:numPr>
        <w:rPr>
          <w:rFonts w:ascii="仿宋_GB2312" w:hAnsi="仿宋_GB2312" w:eastAsia="仿宋_GB2312" w:cs="仿宋_GB2312"/>
          <w:szCs w:val="21"/>
        </w:rPr>
      </w:pPr>
      <w:r>
        <w:rPr>
          <w:rFonts w:hint="eastAsia" w:ascii="仿宋_GB2312" w:hAnsi="仿宋_GB2312" w:eastAsia="仿宋_GB2312" w:cs="仿宋_GB2312"/>
          <w:szCs w:val="21"/>
        </w:rPr>
        <w:t>注：本表后应附企业营业执照副本、基本账户开户许可证或基本账户信息证明材料，其他比选申请人认为与本项目相关的资料影印件并加盖比选申请人鲜章，原件备查。</w:t>
      </w:r>
    </w:p>
    <w:p>
      <w:pPr>
        <w:numPr>
          <w:ilvl w:val="255"/>
          <w:numId w:val="0"/>
        </w:numPr>
        <w:spacing w:line="600" w:lineRule="exact"/>
        <w:ind w:left="3865"/>
        <w:rPr>
          <w:rFonts w:ascii="仿宋_GB2312" w:hAnsi="仿宋_GB2312" w:eastAsia="仿宋_GB2312" w:cs="仿宋_GB2312"/>
          <w:szCs w:val="21"/>
        </w:rPr>
      </w:pPr>
      <w:r>
        <w:rPr>
          <w:rFonts w:hint="eastAsia" w:ascii="仿宋_GB2312" w:hAnsi="仿宋_GB2312" w:eastAsia="仿宋_GB2312" w:cs="仿宋_GB2312"/>
          <w:szCs w:val="21"/>
        </w:rPr>
        <w:t>比选申请人：（全称、盖单位章）</w:t>
      </w:r>
    </w:p>
    <w:p>
      <w:pPr>
        <w:numPr>
          <w:ilvl w:val="255"/>
          <w:numId w:val="0"/>
        </w:numPr>
        <w:spacing w:before="78" w:line="600" w:lineRule="exact"/>
        <w:ind w:left="3865"/>
        <w:rPr>
          <w:rFonts w:ascii="仿宋_GB2312" w:hAnsi="仿宋_GB2312" w:eastAsia="仿宋_GB2312" w:cs="仿宋_GB2312"/>
          <w:szCs w:val="21"/>
        </w:rPr>
      </w:pPr>
      <w:r>
        <w:rPr>
          <w:rFonts w:hint="eastAsia" w:ascii="仿宋_GB2312" w:hAnsi="仿宋_GB2312" w:eastAsia="仿宋_GB2312" w:cs="仿宋_GB2312"/>
          <w:szCs w:val="21"/>
        </w:rPr>
        <w:t>法定代表人或授权代理人： （签字或盖章）</w:t>
      </w:r>
    </w:p>
    <w:p>
      <w:pPr>
        <w:numPr>
          <w:ilvl w:val="255"/>
          <w:numId w:val="0"/>
        </w:numPr>
        <w:spacing w:before="72" w:line="600" w:lineRule="exact"/>
        <w:ind w:right="512"/>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日 期:</w:t>
      </w:r>
      <w:r>
        <w:rPr>
          <w:rFonts w:hint="eastAsia" w:ascii="仿宋_GB2312" w:hAnsi="仿宋_GB2312" w:eastAsia="仿宋_GB2312" w:cs="仿宋_GB2312"/>
          <w:szCs w:val="21"/>
        </w:rPr>
        <w:tab/>
      </w:r>
      <w:r>
        <w:rPr>
          <w:rFonts w:hint="eastAsia" w:ascii="仿宋_GB2312" w:hAnsi="仿宋_GB2312" w:eastAsia="仿宋_GB2312" w:cs="仿宋_GB2312"/>
          <w:szCs w:val="21"/>
        </w:rPr>
        <w:t>年</w:t>
      </w:r>
      <w:r>
        <w:rPr>
          <w:rFonts w:hint="eastAsia" w:ascii="仿宋_GB2312" w:hAnsi="仿宋_GB2312" w:eastAsia="仿宋_GB2312" w:cs="仿宋_GB2312"/>
          <w:szCs w:val="21"/>
        </w:rPr>
        <w:tab/>
      </w:r>
      <w:r>
        <w:rPr>
          <w:rFonts w:hint="eastAsia" w:ascii="仿宋_GB2312" w:hAnsi="仿宋_GB2312" w:eastAsia="仿宋_GB2312" w:cs="仿宋_GB2312"/>
          <w:szCs w:val="21"/>
        </w:rPr>
        <w:t>月</w:t>
      </w:r>
      <w:r>
        <w:rPr>
          <w:rFonts w:hint="eastAsia" w:ascii="仿宋_GB2312" w:hAnsi="仿宋_GB2312" w:eastAsia="仿宋_GB2312" w:cs="仿宋_GB2312"/>
          <w:szCs w:val="21"/>
        </w:rPr>
        <w:tab/>
      </w:r>
      <w:r>
        <w:rPr>
          <w:rFonts w:hint="eastAsia" w:ascii="仿宋_GB2312" w:hAnsi="仿宋_GB2312" w:eastAsia="仿宋_GB2312" w:cs="仿宋_GB2312"/>
          <w:szCs w:val="21"/>
        </w:rPr>
        <w:t>日</w:t>
      </w:r>
    </w:p>
    <w:p>
      <w:pPr>
        <w:numPr>
          <w:ilvl w:val="255"/>
          <w:numId w:val="0"/>
        </w:numPr>
        <w:spacing w:before="72" w:line="600" w:lineRule="exact"/>
        <w:ind w:right="512"/>
        <w:jc w:val="center"/>
        <w:rPr>
          <w:rFonts w:ascii="仿宋_GB2312" w:hAnsi="仿宋_GB2312" w:eastAsia="仿宋_GB2312" w:cs="仿宋_GB2312"/>
          <w:szCs w:val="21"/>
        </w:rPr>
      </w:pPr>
    </w:p>
    <w:p>
      <w:pPr>
        <w:rPr>
          <w:rFonts w:ascii="仿宋_GB2312" w:hAnsi="仿宋_GB2312" w:eastAsia="仿宋_GB2312" w:cs="仿宋_GB2312"/>
          <w:szCs w:val="21"/>
        </w:rPr>
      </w:pPr>
      <w:r>
        <w:rPr>
          <w:rFonts w:hint="eastAsia" w:ascii="仿宋_GB2312" w:hAnsi="仿宋_GB2312" w:eastAsia="仿宋_GB2312" w:cs="仿宋_GB2312"/>
          <w:szCs w:val="21"/>
        </w:rPr>
        <w:br w:type="page"/>
      </w:r>
    </w:p>
    <w:p>
      <w:pPr>
        <w:numPr>
          <w:ilvl w:val="0"/>
          <w:numId w:val="5"/>
        </w:numPr>
        <w:rPr>
          <w:rFonts w:ascii="仿宋_GB2312" w:hAnsi="仿宋_GB2312" w:eastAsia="仿宋_GB2312" w:cs="仿宋_GB2312"/>
          <w:sz w:val="28"/>
          <w:szCs w:val="24"/>
        </w:rPr>
      </w:pPr>
      <w:r>
        <w:rPr>
          <w:rFonts w:hint="eastAsia" w:ascii="仿宋_GB2312" w:hAnsi="仿宋_GB2312" w:eastAsia="仿宋_GB2312" w:cs="仿宋_GB2312"/>
          <w:sz w:val="28"/>
          <w:szCs w:val="24"/>
        </w:rPr>
        <w:t>近三年（2020年</w:t>
      </w:r>
      <w:r>
        <w:rPr>
          <w:rFonts w:ascii="仿宋_GB2312" w:hAnsi="仿宋_GB2312" w:eastAsia="仿宋_GB2312" w:cs="仿宋_GB2312"/>
          <w:sz w:val="28"/>
          <w:szCs w:val="24"/>
        </w:rPr>
        <w:t>1</w:t>
      </w:r>
      <w:r>
        <w:rPr>
          <w:rFonts w:hint="eastAsia" w:ascii="仿宋_GB2312" w:hAnsi="仿宋_GB2312" w:eastAsia="仿宋_GB2312" w:cs="仿宋_GB2312"/>
          <w:sz w:val="28"/>
          <w:szCs w:val="24"/>
        </w:rPr>
        <w:t>月1日至今</w:t>
      </w:r>
      <w:r>
        <w:rPr>
          <w:rFonts w:ascii="仿宋_GB2312" w:hAnsi="仿宋_GB2312" w:eastAsia="仿宋_GB2312" w:cs="仿宋_GB2312"/>
          <w:sz w:val="28"/>
          <w:szCs w:val="24"/>
        </w:rPr>
        <w:t>）</w:t>
      </w:r>
      <w:r>
        <w:rPr>
          <w:rFonts w:hint="eastAsia" w:ascii="仿宋_GB2312" w:hAnsi="仿宋_GB2312" w:eastAsia="仿宋_GB2312" w:cs="仿宋_GB2312"/>
          <w:sz w:val="28"/>
          <w:szCs w:val="24"/>
        </w:rPr>
        <w:t>类似咨询业绩一览表</w:t>
      </w:r>
    </w:p>
    <w:tbl>
      <w:tblPr>
        <w:tblStyle w:val="30"/>
        <w:tblpPr w:leftFromText="180" w:rightFromText="180" w:vertAnchor="text" w:horzAnchor="page" w:tblpX="1467" w:tblpY="120"/>
        <w:tblOverlap w:val="never"/>
        <w:tblW w:w="893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06"/>
        <w:gridCol w:w="2736"/>
        <w:gridCol w:w="1417"/>
        <w:gridCol w:w="1560"/>
        <w:gridCol w:w="15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39" w:hRule="atLeast"/>
        </w:trPr>
        <w:tc>
          <w:tcPr>
            <w:tcW w:w="1706" w:type="dxa"/>
            <w:vAlign w:val="center"/>
          </w:tcPr>
          <w:p>
            <w:pPr>
              <w:pStyle w:val="41"/>
              <w:spacing w:line="240" w:lineRule="atLeast"/>
              <w:ind w:left="95" w:right="90"/>
              <w:jc w:val="center"/>
              <w:rPr>
                <w:rFonts w:ascii="仿宋_GB2312" w:hAnsi="仿宋_GB2312" w:eastAsia="仿宋_GB2312" w:cs="仿宋_GB2312"/>
                <w:szCs w:val="21"/>
              </w:rPr>
            </w:pPr>
            <w:r>
              <w:rPr>
                <w:rFonts w:hint="eastAsia" w:ascii="仿宋_GB2312" w:hAnsi="仿宋_GB2312" w:eastAsia="仿宋_GB2312" w:cs="仿宋_GB2312"/>
                <w:szCs w:val="21"/>
              </w:rPr>
              <w:t>项目</w:t>
            </w:r>
            <w:r>
              <w:rPr>
                <w:rFonts w:ascii="仿宋_GB2312" w:hAnsi="仿宋_GB2312" w:eastAsia="仿宋_GB2312" w:cs="仿宋_GB2312"/>
                <w:szCs w:val="21"/>
              </w:rPr>
              <w:t>名称</w:t>
            </w:r>
          </w:p>
        </w:tc>
        <w:tc>
          <w:tcPr>
            <w:tcW w:w="2736" w:type="dxa"/>
            <w:vAlign w:val="center"/>
          </w:tcPr>
          <w:p>
            <w:pPr>
              <w:pStyle w:val="41"/>
              <w:spacing w:line="240" w:lineRule="atLeast"/>
              <w:jc w:val="center"/>
              <w:rPr>
                <w:rFonts w:ascii="仿宋_GB2312" w:hAnsi="仿宋_GB2312" w:eastAsia="仿宋_GB2312" w:cs="仿宋_GB2312"/>
                <w:b/>
                <w:szCs w:val="21"/>
              </w:rPr>
            </w:pPr>
          </w:p>
          <w:p>
            <w:pPr>
              <w:pStyle w:val="41"/>
              <w:spacing w:line="240" w:lineRule="atLeast"/>
              <w:ind w:left="95" w:right="90"/>
              <w:jc w:val="center"/>
              <w:rPr>
                <w:rFonts w:ascii="仿宋_GB2312" w:hAnsi="仿宋_GB2312" w:eastAsia="仿宋_GB2312" w:cs="仿宋_GB2312"/>
                <w:szCs w:val="21"/>
              </w:rPr>
            </w:pPr>
            <w:r>
              <w:rPr>
                <w:rFonts w:hint="eastAsia" w:ascii="仿宋_GB2312" w:hAnsi="仿宋_GB2312" w:eastAsia="仿宋_GB2312" w:cs="仿宋_GB2312"/>
                <w:szCs w:val="21"/>
              </w:rPr>
              <w:t>委托人名称</w:t>
            </w:r>
          </w:p>
          <w:p>
            <w:pPr>
              <w:pStyle w:val="41"/>
              <w:spacing w:line="240" w:lineRule="atLeast"/>
              <w:jc w:val="center"/>
              <w:rPr>
                <w:rFonts w:ascii="仿宋_GB2312" w:hAnsi="仿宋_GB2312" w:eastAsia="仿宋_GB2312" w:cs="仿宋_GB2312"/>
                <w:szCs w:val="21"/>
              </w:rPr>
            </w:pPr>
          </w:p>
        </w:tc>
        <w:tc>
          <w:tcPr>
            <w:tcW w:w="1417" w:type="dxa"/>
            <w:vAlign w:val="center"/>
          </w:tcPr>
          <w:p>
            <w:pPr>
              <w:pStyle w:val="41"/>
              <w:spacing w:line="240" w:lineRule="atLeast"/>
              <w:ind w:left="87" w:right="79"/>
              <w:jc w:val="center"/>
              <w:rPr>
                <w:rFonts w:ascii="仿宋_GB2312" w:hAnsi="仿宋_GB2312" w:eastAsia="仿宋_GB2312" w:cs="仿宋_GB2312"/>
                <w:szCs w:val="21"/>
              </w:rPr>
            </w:pPr>
            <w:r>
              <w:rPr>
                <w:rFonts w:hint="eastAsia" w:ascii="仿宋_GB2312" w:hAnsi="仿宋_GB2312" w:eastAsia="仿宋_GB2312" w:cs="仿宋_GB2312"/>
                <w:szCs w:val="21"/>
              </w:rPr>
              <w:t>总价</w:t>
            </w:r>
          </w:p>
          <w:p>
            <w:pPr>
              <w:pStyle w:val="41"/>
              <w:spacing w:line="240" w:lineRule="atLeast"/>
              <w:ind w:left="87" w:right="79"/>
              <w:jc w:val="center"/>
              <w:rPr>
                <w:rFonts w:ascii="仿宋_GB2312" w:hAnsi="仿宋_GB2312" w:eastAsia="仿宋_GB2312" w:cs="仿宋_GB2312"/>
                <w:szCs w:val="21"/>
              </w:rPr>
            </w:pPr>
            <w:r>
              <w:rPr>
                <w:rFonts w:hint="eastAsia" w:ascii="仿宋_GB2312" w:hAnsi="仿宋_GB2312" w:eastAsia="仿宋_GB2312" w:cs="仿宋_GB2312"/>
                <w:szCs w:val="21"/>
              </w:rPr>
              <w:t>（万元）</w:t>
            </w:r>
          </w:p>
        </w:tc>
        <w:tc>
          <w:tcPr>
            <w:tcW w:w="1560" w:type="dxa"/>
            <w:vAlign w:val="center"/>
          </w:tcPr>
          <w:p>
            <w:pPr>
              <w:pStyle w:val="41"/>
              <w:spacing w:line="240" w:lineRule="atLeast"/>
              <w:ind w:left="106"/>
              <w:jc w:val="center"/>
              <w:rPr>
                <w:rFonts w:ascii="仿宋_GB2312" w:hAnsi="仿宋_GB2312" w:eastAsia="仿宋_GB2312" w:cs="仿宋_GB2312"/>
                <w:szCs w:val="21"/>
              </w:rPr>
            </w:pPr>
            <w:r>
              <w:rPr>
                <w:rFonts w:hint="eastAsia" w:ascii="仿宋_GB2312" w:hAnsi="仿宋_GB2312" w:eastAsia="仿宋_GB2312" w:cs="仿宋_GB2312"/>
                <w:szCs w:val="21"/>
              </w:rPr>
              <w:t>咨询服</w:t>
            </w:r>
          </w:p>
          <w:p>
            <w:pPr>
              <w:pStyle w:val="41"/>
              <w:spacing w:line="240" w:lineRule="atLeast"/>
              <w:ind w:left="106"/>
              <w:jc w:val="center"/>
              <w:rPr>
                <w:rFonts w:ascii="仿宋_GB2312" w:hAnsi="仿宋_GB2312" w:eastAsia="仿宋_GB2312" w:cs="仿宋_GB2312"/>
                <w:szCs w:val="21"/>
              </w:rPr>
            </w:pPr>
            <w:r>
              <w:rPr>
                <w:rFonts w:hint="eastAsia" w:ascii="仿宋_GB2312" w:hAnsi="仿宋_GB2312" w:eastAsia="仿宋_GB2312" w:cs="仿宋_GB2312"/>
                <w:szCs w:val="21"/>
              </w:rPr>
              <w:t>务主要内容</w:t>
            </w:r>
          </w:p>
        </w:tc>
        <w:tc>
          <w:tcPr>
            <w:tcW w:w="1517" w:type="dxa"/>
            <w:vAlign w:val="center"/>
          </w:tcPr>
          <w:p>
            <w:pPr>
              <w:pStyle w:val="41"/>
              <w:spacing w:line="240" w:lineRule="atLeast"/>
              <w:ind w:left="183"/>
              <w:jc w:val="center"/>
              <w:rPr>
                <w:rFonts w:ascii="仿宋_GB2312" w:hAnsi="仿宋_GB2312" w:eastAsia="仿宋_GB2312" w:cs="仿宋_GB2312"/>
                <w:szCs w:val="21"/>
              </w:rPr>
            </w:pPr>
            <w:r>
              <w:rPr>
                <w:rFonts w:hint="eastAsia" w:ascii="仿宋_GB2312" w:hAnsi="仿宋_GB2312" w:eastAsia="仿宋_GB2312" w:cs="仿宋_GB2312"/>
                <w:szCs w:val="21"/>
              </w:rPr>
              <w:t>业绩</w:t>
            </w:r>
          </w:p>
          <w:p>
            <w:pPr>
              <w:pStyle w:val="41"/>
              <w:spacing w:line="240" w:lineRule="atLeast"/>
              <w:ind w:left="183"/>
              <w:jc w:val="center"/>
              <w:rPr>
                <w:rFonts w:ascii="仿宋_GB2312" w:hAnsi="仿宋_GB2312" w:eastAsia="仿宋_GB2312" w:cs="仿宋_GB2312"/>
                <w:szCs w:val="21"/>
              </w:rPr>
            </w:pPr>
            <w:r>
              <w:rPr>
                <w:rFonts w:hint="eastAsia" w:ascii="仿宋_GB2312" w:hAnsi="仿宋_GB2312" w:eastAsia="仿宋_GB2312" w:cs="仿宋_GB2312"/>
                <w:szCs w:val="21"/>
              </w:rPr>
              <w:t>类型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7" w:hRule="atLeast"/>
        </w:trPr>
        <w:tc>
          <w:tcPr>
            <w:tcW w:w="1706" w:type="dxa"/>
          </w:tcPr>
          <w:p>
            <w:pPr>
              <w:pStyle w:val="41"/>
              <w:spacing w:line="240" w:lineRule="atLeast"/>
              <w:rPr>
                <w:rFonts w:ascii="仿宋_GB2312" w:hAnsi="仿宋_GB2312" w:eastAsia="仿宋_GB2312" w:cs="仿宋_GB2312"/>
                <w:szCs w:val="21"/>
              </w:rPr>
            </w:pPr>
          </w:p>
        </w:tc>
        <w:tc>
          <w:tcPr>
            <w:tcW w:w="2736" w:type="dxa"/>
          </w:tcPr>
          <w:p>
            <w:pPr>
              <w:pStyle w:val="41"/>
              <w:spacing w:line="240" w:lineRule="atLeast"/>
              <w:ind w:left="-199" w:leftChars="-95" w:firstLine="199" w:firstLineChars="95"/>
              <w:rPr>
                <w:rFonts w:ascii="仿宋_GB2312" w:hAnsi="仿宋_GB2312" w:eastAsia="仿宋_GB2312" w:cs="仿宋_GB2312"/>
                <w:szCs w:val="21"/>
              </w:rPr>
            </w:pPr>
          </w:p>
        </w:tc>
        <w:tc>
          <w:tcPr>
            <w:tcW w:w="1417" w:type="dxa"/>
          </w:tcPr>
          <w:p>
            <w:pPr>
              <w:pStyle w:val="41"/>
              <w:spacing w:line="240" w:lineRule="atLeast"/>
              <w:rPr>
                <w:rFonts w:ascii="仿宋_GB2312" w:hAnsi="仿宋_GB2312" w:eastAsia="仿宋_GB2312" w:cs="仿宋_GB2312"/>
                <w:szCs w:val="21"/>
              </w:rPr>
            </w:pPr>
          </w:p>
        </w:tc>
        <w:tc>
          <w:tcPr>
            <w:tcW w:w="1560" w:type="dxa"/>
          </w:tcPr>
          <w:p>
            <w:pPr>
              <w:pStyle w:val="41"/>
              <w:spacing w:line="240" w:lineRule="atLeast"/>
              <w:rPr>
                <w:rFonts w:ascii="仿宋_GB2312" w:hAnsi="仿宋_GB2312" w:eastAsia="仿宋_GB2312" w:cs="仿宋_GB2312"/>
                <w:szCs w:val="21"/>
              </w:rPr>
            </w:pPr>
          </w:p>
        </w:tc>
        <w:tc>
          <w:tcPr>
            <w:tcW w:w="1517" w:type="dxa"/>
          </w:tcPr>
          <w:p>
            <w:pPr>
              <w:pStyle w:val="41"/>
              <w:spacing w:line="240" w:lineRule="atLeast"/>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7" w:hRule="atLeast"/>
        </w:trPr>
        <w:tc>
          <w:tcPr>
            <w:tcW w:w="1706" w:type="dxa"/>
          </w:tcPr>
          <w:p>
            <w:pPr>
              <w:pStyle w:val="41"/>
              <w:spacing w:line="240" w:lineRule="atLeast"/>
              <w:rPr>
                <w:rFonts w:ascii="仿宋_GB2312" w:hAnsi="仿宋_GB2312" w:eastAsia="仿宋_GB2312" w:cs="仿宋_GB2312"/>
                <w:szCs w:val="21"/>
              </w:rPr>
            </w:pPr>
          </w:p>
        </w:tc>
        <w:tc>
          <w:tcPr>
            <w:tcW w:w="2736" w:type="dxa"/>
          </w:tcPr>
          <w:p>
            <w:pPr>
              <w:pStyle w:val="41"/>
              <w:spacing w:line="240" w:lineRule="atLeast"/>
              <w:rPr>
                <w:rFonts w:ascii="仿宋_GB2312" w:hAnsi="仿宋_GB2312" w:eastAsia="仿宋_GB2312" w:cs="仿宋_GB2312"/>
                <w:szCs w:val="21"/>
              </w:rPr>
            </w:pPr>
          </w:p>
        </w:tc>
        <w:tc>
          <w:tcPr>
            <w:tcW w:w="1417" w:type="dxa"/>
          </w:tcPr>
          <w:p>
            <w:pPr>
              <w:pStyle w:val="41"/>
              <w:spacing w:line="240" w:lineRule="atLeast"/>
              <w:rPr>
                <w:rFonts w:ascii="仿宋_GB2312" w:hAnsi="仿宋_GB2312" w:eastAsia="仿宋_GB2312" w:cs="仿宋_GB2312"/>
                <w:szCs w:val="21"/>
              </w:rPr>
            </w:pPr>
          </w:p>
        </w:tc>
        <w:tc>
          <w:tcPr>
            <w:tcW w:w="1560" w:type="dxa"/>
          </w:tcPr>
          <w:p>
            <w:pPr>
              <w:pStyle w:val="41"/>
              <w:spacing w:line="240" w:lineRule="atLeast"/>
              <w:rPr>
                <w:rFonts w:ascii="仿宋_GB2312" w:hAnsi="仿宋_GB2312" w:eastAsia="仿宋_GB2312" w:cs="仿宋_GB2312"/>
                <w:szCs w:val="21"/>
              </w:rPr>
            </w:pPr>
          </w:p>
        </w:tc>
        <w:tc>
          <w:tcPr>
            <w:tcW w:w="1517" w:type="dxa"/>
          </w:tcPr>
          <w:p>
            <w:pPr>
              <w:pStyle w:val="41"/>
              <w:spacing w:line="240" w:lineRule="atLeast"/>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9" w:hRule="atLeast"/>
        </w:trPr>
        <w:tc>
          <w:tcPr>
            <w:tcW w:w="1706" w:type="dxa"/>
          </w:tcPr>
          <w:p>
            <w:pPr>
              <w:pStyle w:val="41"/>
              <w:spacing w:line="240" w:lineRule="atLeast"/>
              <w:rPr>
                <w:rFonts w:ascii="仿宋_GB2312" w:hAnsi="仿宋_GB2312" w:eastAsia="仿宋_GB2312" w:cs="仿宋_GB2312"/>
                <w:szCs w:val="21"/>
              </w:rPr>
            </w:pPr>
          </w:p>
        </w:tc>
        <w:tc>
          <w:tcPr>
            <w:tcW w:w="2736" w:type="dxa"/>
          </w:tcPr>
          <w:p>
            <w:pPr>
              <w:pStyle w:val="41"/>
              <w:spacing w:line="240" w:lineRule="atLeast"/>
              <w:rPr>
                <w:rFonts w:ascii="仿宋_GB2312" w:hAnsi="仿宋_GB2312" w:eastAsia="仿宋_GB2312" w:cs="仿宋_GB2312"/>
                <w:szCs w:val="21"/>
              </w:rPr>
            </w:pPr>
          </w:p>
        </w:tc>
        <w:tc>
          <w:tcPr>
            <w:tcW w:w="1417" w:type="dxa"/>
          </w:tcPr>
          <w:p>
            <w:pPr>
              <w:pStyle w:val="41"/>
              <w:spacing w:line="240" w:lineRule="atLeast"/>
              <w:rPr>
                <w:rFonts w:ascii="仿宋_GB2312" w:hAnsi="仿宋_GB2312" w:eastAsia="仿宋_GB2312" w:cs="仿宋_GB2312"/>
                <w:szCs w:val="21"/>
              </w:rPr>
            </w:pPr>
          </w:p>
        </w:tc>
        <w:tc>
          <w:tcPr>
            <w:tcW w:w="1560" w:type="dxa"/>
          </w:tcPr>
          <w:p>
            <w:pPr>
              <w:pStyle w:val="41"/>
              <w:spacing w:line="240" w:lineRule="atLeast"/>
              <w:rPr>
                <w:rFonts w:ascii="仿宋_GB2312" w:hAnsi="仿宋_GB2312" w:eastAsia="仿宋_GB2312" w:cs="仿宋_GB2312"/>
                <w:szCs w:val="21"/>
              </w:rPr>
            </w:pPr>
          </w:p>
        </w:tc>
        <w:tc>
          <w:tcPr>
            <w:tcW w:w="1517" w:type="dxa"/>
          </w:tcPr>
          <w:p>
            <w:pPr>
              <w:pStyle w:val="41"/>
              <w:spacing w:line="240" w:lineRule="atLeast"/>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7" w:hRule="atLeast"/>
        </w:trPr>
        <w:tc>
          <w:tcPr>
            <w:tcW w:w="1706" w:type="dxa"/>
          </w:tcPr>
          <w:p>
            <w:pPr>
              <w:pStyle w:val="41"/>
              <w:spacing w:line="240" w:lineRule="atLeast"/>
              <w:rPr>
                <w:rFonts w:ascii="仿宋_GB2312" w:hAnsi="仿宋_GB2312" w:eastAsia="仿宋_GB2312" w:cs="仿宋_GB2312"/>
                <w:szCs w:val="21"/>
              </w:rPr>
            </w:pPr>
          </w:p>
        </w:tc>
        <w:tc>
          <w:tcPr>
            <w:tcW w:w="2736" w:type="dxa"/>
          </w:tcPr>
          <w:p>
            <w:pPr>
              <w:pStyle w:val="41"/>
              <w:spacing w:line="240" w:lineRule="atLeast"/>
              <w:rPr>
                <w:rFonts w:ascii="仿宋_GB2312" w:hAnsi="仿宋_GB2312" w:eastAsia="仿宋_GB2312" w:cs="仿宋_GB2312"/>
                <w:szCs w:val="21"/>
              </w:rPr>
            </w:pPr>
          </w:p>
        </w:tc>
        <w:tc>
          <w:tcPr>
            <w:tcW w:w="1417" w:type="dxa"/>
          </w:tcPr>
          <w:p>
            <w:pPr>
              <w:pStyle w:val="41"/>
              <w:spacing w:line="240" w:lineRule="atLeast"/>
              <w:rPr>
                <w:rFonts w:ascii="仿宋_GB2312" w:hAnsi="仿宋_GB2312" w:eastAsia="仿宋_GB2312" w:cs="仿宋_GB2312"/>
                <w:szCs w:val="21"/>
              </w:rPr>
            </w:pPr>
          </w:p>
        </w:tc>
        <w:tc>
          <w:tcPr>
            <w:tcW w:w="1560" w:type="dxa"/>
          </w:tcPr>
          <w:p>
            <w:pPr>
              <w:pStyle w:val="41"/>
              <w:spacing w:line="240" w:lineRule="atLeast"/>
              <w:rPr>
                <w:rFonts w:ascii="仿宋_GB2312" w:hAnsi="仿宋_GB2312" w:eastAsia="仿宋_GB2312" w:cs="仿宋_GB2312"/>
                <w:szCs w:val="21"/>
              </w:rPr>
            </w:pPr>
          </w:p>
        </w:tc>
        <w:tc>
          <w:tcPr>
            <w:tcW w:w="1517" w:type="dxa"/>
          </w:tcPr>
          <w:p>
            <w:pPr>
              <w:pStyle w:val="41"/>
              <w:spacing w:line="240" w:lineRule="atLeast"/>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7" w:hRule="atLeast"/>
        </w:trPr>
        <w:tc>
          <w:tcPr>
            <w:tcW w:w="1706" w:type="dxa"/>
          </w:tcPr>
          <w:p>
            <w:pPr>
              <w:pStyle w:val="41"/>
              <w:spacing w:line="240" w:lineRule="atLeast"/>
              <w:rPr>
                <w:rFonts w:ascii="仿宋_GB2312" w:hAnsi="仿宋_GB2312" w:eastAsia="仿宋_GB2312" w:cs="仿宋_GB2312"/>
                <w:szCs w:val="21"/>
              </w:rPr>
            </w:pPr>
          </w:p>
        </w:tc>
        <w:tc>
          <w:tcPr>
            <w:tcW w:w="2736" w:type="dxa"/>
          </w:tcPr>
          <w:p>
            <w:pPr>
              <w:pStyle w:val="41"/>
              <w:spacing w:line="240" w:lineRule="atLeast"/>
              <w:rPr>
                <w:rFonts w:ascii="仿宋_GB2312" w:hAnsi="仿宋_GB2312" w:eastAsia="仿宋_GB2312" w:cs="仿宋_GB2312"/>
                <w:szCs w:val="21"/>
              </w:rPr>
            </w:pPr>
          </w:p>
        </w:tc>
        <w:tc>
          <w:tcPr>
            <w:tcW w:w="1417" w:type="dxa"/>
          </w:tcPr>
          <w:p>
            <w:pPr>
              <w:pStyle w:val="41"/>
              <w:spacing w:line="240" w:lineRule="atLeast"/>
              <w:rPr>
                <w:rFonts w:ascii="仿宋_GB2312" w:hAnsi="仿宋_GB2312" w:eastAsia="仿宋_GB2312" w:cs="仿宋_GB2312"/>
                <w:szCs w:val="21"/>
              </w:rPr>
            </w:pPr>
          </w:p>
        </w:tc>
        <w:tc>
          <w:tcPr>
            <w:tcW w:w="1560" w:type="dxa"/>
          </w:tcPr>
          <w:p>
            <w:pPr>
              <w:pStyle w:val="41"/>
              <w:spacing w:line="240" w:lineRule="atLeast"/>
              <w:rPr>
                <w:rFonts w:ascii="仿宋_GB2312" w:hAnsi="仿宋_GB2312" w:eastAsia="仿宋_GB2312" w:cs="仿宋_GB2312"/>
                <w:szCs w:val="21"/>
              </w:rPr>
            </w:pPr>
          </w:p>
        </w:tc>
        <w:tc>
          <w:tcPr>
            <w:tcW w:w="1517" w:type="dxa"/>
          </w:tcPr>
          <w:p>
            <w:pPr>
              <w:pStyle w:val="41"/>
              <w:spacing w:line="240" w:lineRule="atLeast"/>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9" w:hRule="atLeast"/>
        </w:trPr>
        <w:tc>
          <w:tcPr>
            <w:tcW w:w="1706" w:type="dxa"/>
          </w:tcPr>
          <w:p>
            <w:pPr>
              <w:pStyle w:val="41"/>
              <w:spacing w:line="240" w:lineRule="atLeast"/>
              <w:rPr>
                <w:rFonts w:ascii="仿宋_GB2312" w:hAnsi="仿宋_GB2312" w:eastAsia="仿宋_GB2312" w:cs="仿宋_GB2312"/>
                <w:szCs w:val="21"/>
              </w:rPr>
            </w:pPr>
          </w:p>
        </w:tc>
        <w:tc>
          <w:tcPr>
            <w:tcW w:w="2736" w:type="dxa"/>
          </w:tcPr>
          <w:p>
            <w:pPr>
              <w:pStyle w:val="41"/>
              <w:spacing w:line="240" w:lineRule="atLeast"/>
              <w:rPr>
                <w:rFonts w:ascii="仿宋_GB2312" w:hAnsi="仿宋_GB2312" w:eastAsia="仿宋_GB2312" w:cs="仿宋_GB2312"/>
                <w:szCs w:val="21"/>
              </w:rPr>
            </w:pPr>
          </w:p>
        </w:tc>
        <w:tc>
          <w:tcPr>
            <w:tcW w:w="1417" w:type="dxa"/>
          </w:tcPr>
          <w:p>
            <w:pPr>
              <w:pStyle w:val="41"/>
              <w:spacing w:line="240" w:lineRule="atLeast"/>
              <w:rPr>
                <w:rFonts w:ascii="仿宋_GB2312" w:hAnsi="仿宋_GB2312" w:eastAsia="仿宋_GB2312" w:cs="仿宋_GB2312"/>
                <w:szCs w:val="21"/>
              </w:rPr>
            </w:pPr>
          </w:p>
        </w:tc>
        <w:tc>
          <w:tcPr>
            <w:tcW w:w="1560" w:type="dxa"/>
          </w:tcPr>
          <w:p>
            <w:pPr>
              <w:pStyle w:val="41"/>
              <w:spacing w:line="240" w:lineRule="atLeast"/>
              <w:rPr>
                <w:rFonts w:ascii="仿宋_GB2312" w:hAnsi="仿宋_GB2312" w:eastAsia="仿宋_GB2312" w:cs="仿宋_GB2312"/>
                <w:szCs w:val="21"/>
              </w:rPr>
            </w:pPr>
          </w:p>
        </w:tc>
        <w:tc>
          <w:tcPr>
            <w:tcW w:w="1517" w:type="dxa"/>
          </w:tcPr>
          <w:p>
            <w:pPr>
              <w:pStyle w:val="41"/>
              <w:spacing w:line="240" w:lineRule="atLeast"/>
              <w:rPr>
                <w:rFonts w:ascii="仿宋_GB2312" w:hAnsi="仿宋_GB2312" w:eastAsia="仿宋_GB2312" w:cs="仿宋_GB2312"/>
                <w:szCs w:val="21"/>
              </w:rPr>
            </w:pPr>
          </w:p>
        </w:tc>
      </w:tr>
    </w:tbl>
    <w:p>
      <w:pPr>
        <w:pStyle w:val="12"/>
        <w:spacing w:before="11" w:after="1"/>
        <w:rPr>
          <w:rFonts w:ascii="仿宋_GB2312" w:hAnsi="仿宋_GB2312" w:eastAsia="仿宋_GB2312" w:cs="仿宋_GB2312"/>
          <w:b/>
          <w:sz w:val="24"/>
        </w:rPr>
      </w:pPr>
    </w:p>
    <w:p>
      <w:pPr>
        <w:pStyle w:val="12"/>
        <w:spacing w:before="102"/>
        <w:ind w:right="-94" w:firstLine="420"/>
        <w:rPr>
          <w:rFonts w:ascii="仿宋_GB2312" w:hAnsi="仿宋_GB2312" w:eastAsia="仿宋_GB2312" w:cs="仿宋_GB2312"/>
          <w:szCs w:val="21"/>
        </w:rPr>
      </w:pPr>
      <w:r>
        <w:rPr>
          <w:rFonts w:hint="eastAsia" w:ascii="仿宋_GB2312" w:hAnsi="仿宋_GB2312" w:eastAsia="仿宋_GB2312" w:cs="仿宋_GB2312"/>
          <w:szCs w:val="21"/>
        </w:rPr>
        <w:t>注：业绩认定需提供中标&lt;选&gt;通知书或咨询合同或由业主确认的业绩证明材料等证明文件的复印件，</w:t>
      </w:r>
      <w:r>
        <w:rPr>
          <w:rFonts w:hint="eastAsia" w:ascii="仿宋_GB2312" w:hAnsi="仿宋_GB2312" w:eastAsia="仿宋_GB2312" w:cs="仿宋_GB2312"/>
          <w:spacing w:val="-1"/>
          <w:szCs w:val="21"/>
        </w:rPr>
        <w:t>业绩证明材料真实可信，提供原件备查。</w:t>
      </w:r>
    </w:p>
    <w:p>
      <w:pPr>
        <w:pStyle w:val="12"/>
        <w:spacing w:before="6"/>
        <w:rPr>
          <w:rFonts w:ascii="仿宋_GB2312" w:hAnsi="仿宋_GB2312" w:eastAsia="仿宋_GB2312" w:cs="仿宋_GB2312"/>
          <w:szCs w:val="21"/>
        </w:rPr>
      </w:pPr>
    </w:p>
    <w:p>
      <w:pPr>
        <w:pStyle w:val="12"/>
        <w:ind w:left="3865"/>
        <w:rPr>
          <w:rFonts w:ascii="仿宋_GB2312" w:hAnsi="仿宋_GB2312" w:eastAsia="仿宋_GB2312" w:cs="仿宋_GB2312"/>
          <w:szCs w:val="21"/>
        </w:rPr>
      </w:pPr>
      <w:r>
        <w:rPr>
          <w:rFonts w:hint="eastAsia" w:ascii="仿宋_GB2312" w:hAnsi="仿宋_GB2312" w:eastAsia="仿宋_GB2312" w:cs="仿宋_GB2312"/>
          <w:spacing w:val="-20"/>
          <w:szCs w:val="21"/>
        </w:rPr>
        <w:t>比选申请人：</w:t>
      </w:r>
      <w:r>
        <w:rPr>
          <w:rFonts w:hint="eastAsia" w:ascii="仿宋_GB2312" w:hAnsi="仿宋_GB2312" w:eastAsia="仿宋_GB2312" w:cs="仿宋_GB2312"/>
          <w:spacing w:val="-3"/>
          <w:szCs w:val="21"/>
          <w:u w:val="single"/>
        </w:rPr>
        <w:t>（全称、盖单位章</w:t>
      </w:r>
      <w:r>
        <w:rPr>
          <w:rFonts w:hint="eastAsia" w:ascii="仿宋_GB2312" w:hAnsi="仿宋_GB2312" w:eastAsia="仿宋_GB2312" w:cs="仿宋_GB2312"/>
          <w:szCs w:val="21"/>
          <w:u w:val="single"/>
        </w:rPr>
        <w:t>）</w:t>
      </w:r>
    </w:p>
    <w:p>
      <w:pPr>
        <w:pStyle w:val="12"/>
        <w:spacing w:before="12"/>
        <w:rPr>
          <w:rFonts w:ascii="仿宋_GB2312" w:hAnsi="仿宋_GB2312" w:eastAsia="仿宋_GB2312" w:cs="仿宋_GB2312"/>
          <w:szCs w:val="21"/>
        </w:rPr>
      </w:pPr>
    </w:p>
    <w:p>
      <w:pPr>
        <w:pStyle w:val="12"/>
        <w:spacing w:before="72"/>
        <w:ind w:left="3865"/>
        <w:rPr>
          <w:rFonts w:ascii="仿宋_GB2312" w:hAnsi="仿宋_GB2312" w:eastAsia="仿宋_GB2312" w:cs="仿宋_GB2312"/>
          <w:szCs w:val="21"/>
        </w:rPr>
      </w:pPr>
      <w:r>
        <w:rPr>
          <w:rFonts w:hint="eastAsia" w:ascii="仿宋_GB2312" w:hAnsi="仿宋_GB2312" w:eastAsia="仿宋_GB2312" w:cs="仿宋_GB2312"/>
          <w:spacing w:val="-12"/>
          <w:szCs w:val="21"/>
        </w:rPr>
        <w:t>法定代表人或授权代理人：</w:t>
      </w:r>
      <w:r>
        <w:rPr>
          <w:rFonts w:hint="eastAsia" w:ascii="仿宋_GB2312" w:hAnsi="仿宋_GB2312" w:eastAsia="仿宋_GB2312" w:cs="仿宋_GB2312"/>
          <w:spacing w:val="-12"/>
          <w:szCs w:val="21"/>
          <w:u w:val="single"/>
        </w:rPr>
        <w:t xml:space="preserve"> </w:t>
      </w:r>
      <w:r>
        <w:rPr>
          <w:rFonts w:ascii="仿宋_GB2312" w:hAnsi="仿宋_GB2312" w:eastAsia="仿宋_GB2312" w:cs="仿宋_GB2312"/>
          <w:spacing w:val="-12"/>
          <w:szCs w:val="21"/>
          <w:u w:val="single"/>
        </w:rPr>
        <w:t xml:space="preserve">  </w:t>
      </w:r>
      <w:r>
        <w:rPr>
          <w:rFonts w:hint="eastAsia" w:ascii="仿宋_GB2312" w:hAnsi="仿宋_GB2312" w:eastAsia="仿宋_GB2312" w:cs="仿宋_GB2312"/>
          <w:szCs w:val="21"/>
          <w:u w:val="single"/>
        </w:rPr>
        <w:t>（</w:t>
      </w:r>
      <w:r>
        <w:rPr>
          <w:rFonts w:hint="eastAsia" w:ascii="仿宋_GB2312" w:hAnsi="仿宋_GB2312" w:eastAsia="仿宋_GB2312" w:cs="仿宋_GB2312"/>
          <w:spacing w:val="-3"/>
          <w:szCs w:val="21"/>
          <w:u w:val="single"/>
        </w:rPr>
        <w:t>签字</w:t>
      </w:r>
      <w:r>
        <w:rPr>
          <w:rFonts w:hint="eastAsia" w:ascii="仿宋_GB2312" w:hAnsi="仿宋_GB2312" w:eastAsia="仿宋_GB2312" w:cs="仿宋_GB2312"/>
          <w:szCs w:val="21"/>
          <w:u w:val="single"/>
        </w:rPr>
        <w:t>）</w:t>
      </w:r>
    </w:p>
    <w:p>
      <w:pPr>
        <w:pStyle w:val="12"/>
        <w:spacing w:before="12"/>
        <w:rPr>
          <w:rFonts w:ascii="仿宋_GB2312" w:hAnsi="仿宋_GB2312" w:eastAsia="仿宋_GB2312" w:cs="仿宋_GB2312"/>
          <w:sz w:val="9"/>
        </w:rPr>
      </w:pPr>
    </w:p>
    <w:p>
      <w:pPr>
        <w:pStyle w:val="12"/>
        <w:spacing w:before="102"/>
        <w:ind w:right="-94" w:firstLine="3990" w:firstLineChars="1900"/>
        <w:rPr>
          <w:rFonts w:ascii="仿宋_GB2312" w:hAnsi="仿宋_GB2312" w:eastAsia="仿宋_GB2312" w:cs="仿宋_GB2312"/>
          <w:szCs w:val="21"/>
        </w:rPr>
      </w:pPr>
      <w:r>
        <w:rPr>
          <w:rFonts w:hint="eastAsia" w:ascii="仿宋_GB2312" w:hAnsi="仿宋_GB2312" w:eastAsia="仿宋_GB2312" w:cs="仿宋_GB2312"/>
          <w:szCs w:val="21"/>
        </w:rPr>
        <w:t>日 期:</w:t>
      </w:r>
      <w:r>
        <w:rPr>
          <w:rFonts w:hint="eastAsia" w:ascii="仿宋_GB2312" w:hAnsi="仿宋_GB2312" w:eastAsia="仿宋_GB2312" w:cs="仿宋_GB2312"/>
          <w:szCs w:val="21"/>
        </w:rPr>
        <w:tab/>
      </w:r>
      <w:r>
        <w:rPr>
          <w:rFonts w:ascii="仿宋_GB2312" w:hAnsi="仿宋_GB2312" w:eastAsia="仿宋_GB2312" w:cs="仿宋_GB2312"/>
          <w:szCs w:val="21"/>
        </w:rPr>
        <w:t xml:space="preserve"> </w:t>
      </w:r>
      <w:r>
        <w:rPr>
          <w:rFonts w:hint="eastAsia" w:ascii="仿宋_GB2312" w:hAnsi="仿宋_GB2312" w:eastAsia="仿宋_GB2312" w:cs="仿宋_GB2312"/>
          <w:szCs w:val="21"/>
        </w:rPr>
        <w:t>年</w:t>
      </w:r>
      <w:r>
        <w:rPr>
          <w:rFonts w:hint="eastAsia" w:ascii="仿宋_GB2312" w:hAnsi="仿宋_GB2312" w:eastAsia="仿宋_GB2312" w:cs="仿宋_GB2312"/>
          <w:szCs w:val="21"/>
        </w:rPr>
        <w:tab/>
      </w:r>
      <w:r>
        <w:rPr>
          <w:rFonts w:ascii="仿宋_GB2312" w:hAnsi="仿宋_GB2312" w:eastAsia="仿宋_GB2312" w:cs="仿宋_GB2312"/>
          <w:szCs w:val="21"/>
        </w:rPr>
        <w:t xml:space="preserve">    </w:t>
      </w:r>
      <w:r>
        <w:rPr>
          <w:rFonts w:hint="eastAsia" w:ascii="仿宋_GB2312" w:hAnsi="仿宋_GB2312" w:eastAsia="仿宋_GB2312" w:cs="仿宋_GB2312"/>
          <w:szCs w:val="21"/>
        </w:rPr>
        <w:t xml:space="preserve">月 </w:t>
      </w:r>
      <w:r>
        <w:rPr>
          <w:rFonts w:hint="eastAsia" w:ascii="仿宋_GB2312" w:hAnsi="仿宋_GB2312" w:eastAsia="仿宋_GB2312" w:cs="仿宋_GB2312"/>
          <w:szCs w:val="21"/>
        </w:rPr>
        <w:tab/>
      </w:r>
      <w:r>
        <w:rPr>
          <w:rFonts w:ascii="仿宋_GB2312" w:hAnsi="仿宋_GB2312" w:eastAsia="仿宋_GB2312" w:cs="仿宋_GB2312"/>
          <w:szCs w:val="21"/>
        </w:rPr>
        <w:t xml:space="preserve">  </w:t>
      </w:r>
      <w:r>
        <w:rPr>
          <w:rFonts w:hint="eastAsia" w:ascii="仿宋_GB2312" w:hAnsi="仿宋_GB2312" w:eastAsia="仿宋_GB2312" w:cs="仿宋_GB2312"/>
          <w:szCs w:val="21"/>
        </w:rPr>
        <w:t>日</w:t>
      </w:r>
    </w:p>
    <w:p>
      <w:pPr>
        <w:numPr>
          <w:ilvl w:val="255"/>
          <w:numId w:val="0"/>
        </w:numPr>
        <w:spacing w:before="72" w:line="600" w:lineRule="exact"/>
        <w:ind w:right="512"/>
        <w:jc w:val="center"/>
        <w:rPr>
          <w:rFonts w:ascii="仿宋_GB2312" w:hAnsi="仿宋_GB2312" w:eastAsia="仿宋_GB2312" w:cs="仿宋_GB2312"/>
          <w:szCs w:val="21"/>
        </w:rPr>
        <w:sectPr>
          <w:pgSz w:w="11911" w:h="16838"/>
          <w:pgMar w:top="1474" w:right="1474" w:bottom="1474" w:left="1474" w:header="799" w:footer="918" w:gutter="0"/>
          <w:cols w:space="0" w:num="1"/>
        </w:sectPr>
      </w:pPr>
    </w:p>
    <w:bookmarkEnd w:id="44"/>
    <w:bookmarkEnd w:id="45"/>
    <w:bookmarkEnd w:id="46"/>
    <w:bookmarkEnd w:id="47"/>
    <w:bookmarkEnd w:id="48"/>
    <w:bookmarkEnd w:id="49"/>
    <w:bookmarkEnd w:id="50"/>
    <w:bookmarkEnd w:id="51"/>
    <w:bookmarkEnd w:id="52"/>
    <w:p>
      <w:pPr>
        <w:pStyle w:val="4"/>
        <w:spacing w:before="0" w:after="0" w:line="600" w:lineRule="exact"/>
        <w:rPr>
          <w:rFonts w:ascii="仿宋_GB2312" w:hAnsi="仿宋_GB2312" w:eastAsia="仿宋_GB2312" w:cs="仿宋_GB2312"/>
          <w:kern w:val="2"/>
          <w:sz w:val="28"/>
          <w:szCs w:val="24"/>
        </w:rPr>
      </w:pPr>
      <w:bookmarkStart w:id="53" w:name="_Toc459286558"/>
      <w:r>
        <w:rPr>
          <w:rFonts w:hint="eastAsia" w:ascii="仿宋_GB2312" w:hAnsi="仿宋_GB2312" w:eastAsia="仿宋_GB2312" w:cs="仿宋_GB2312"/>
          <w:kern w:val="2"/>
          <w:sz w:val="28"/>
          <w:szCs w:val="24"/>
        </w:rPr>
        <w:t>三、法定代表人身份证明</w:t>
      </w:r>
      <w:bookmarkEnd w:id="53"/>
      <w:r>
        <w:rPr>
          <w:rFonts w:hint="eastAsia" w:ascii="仿宋_GB2312" w:hAnsi="仿宋_GB2312" w:eastAsia="仿宋_GB2312" w:cs="仿宋_GB2312"/>
          <w:kern w:val="2"/>
          <w:sz w:val="28"/>
          <w:szCs w:val="24"/>
        </w:rPr>
        <w:t>或授权委托书</w:t>
      </w:r>
    </w:p>
    <w:p>
      <w:pPr>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（一）法定代表人身份证明</w:t>
      </w:r>
    </w:p>
    <w:p>
      <w:pPr>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 </w:t>
      </w:r>
    </w:p>
    <w:p>
      <w:pPr>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比选申请人名称：_____________________________</w:t>
      </w:r>
    </w:p>
    <w:p>
      <w:pPr>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单位性质：____________________________</w:t>
      </w:r>
    </w:p>
    <w:p>
      <w:pPr>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地址：________________________________</w:t>
      </w:r>
    </w:p>
    <w:p>
      <w:pPr>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成立时间：________年_______月________日</w:t>
      </w:r>
    </w:p>
    <w:p>
      <w:pPr>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经营期限：____________________________</w:t>
      </w:r>
    </w:p>
    <w:p>
      <w:pPr>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姓名：________性别：________年龄：________职务：________</w:t>
      </w:r>
    </w:p>
    <w:p>
      <w:pPr>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系_____________________________（比选申请人全称）的法定代表人。</w:t>
      </w:r>
    </w:p>
    <w:p>
      <w:pPr>
        <w:spacing w:line="600" w:lineRule="exact"/>
        <w:ind w:firstLine="560" w:firstLineChars="200"/>
        <w:jc w:val="left"/>
        <w:rPr>
          <w:rFonts w:ascii="仿宋_GB2312" w:hAnsi="仿宋_GB2312" w:eastAsia="仿宋_GB2312" w:cs="仿宋_GB2312"/>
          <w:sz w:val="28"/>
          <w:szCs w:val="24"/>
        </w:rPr>
      </w:pPr>
    </w:p>
    <w:p>
      <w:pPr>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特此证明。</w:t>
      </w:r>
    </w:p>
    <w:p>
      <w:pPr>
        <w:spacing w:line="600" w:lineRule="exact"/>
        <w:ind w:firstLine="560" w:firstLineChars="200"/>
        <w:jc w:val="left"/>
        <w:rPr>
          <w:rFonts w:ascii="仿宋_GB2312" w:hAnsi="仿宋_GB2312" w:eastAsia="仿宋_GB2312" w:cs="仿宋_GB2312"/>
          <w:sz w:val="28"/>
          <w:szCs w:val="24"/>
        </w:rPr>
      </w:pPr>
    </w:p>
    <w:p>
      <w:pPr>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附： 法定代表人身份证复印件</w:t>
      </w:r>
    </w:p>
    <w:p>
      <w:pPr>
        <w:spacing w:line="600" w:lineRule="exact"/>
        <w:ind w:firstLine="560" w:firstLineChars="200"/>
        <w:jc w:val="left"/>
        <w:rPr>
          <w:rFonts w:ascii="仿宋_GB2312" w:hAnsi="仿宋_GB2312" w:eastAsia="仿宋_GB2312" w:cs="仿宋_GB2312"/>
          <w:sz w:val="28"/>
          <w:szCs w:val="24"/>
        </w:rPr>
      </w:pPr>
    </w:p>
    <w:p>
      <w:pPr>
        <w:spacing w:line="600" w:lineRule="exact"/>
        <w:ind w:firstLine="560" w:firstLineChars="200"/>
        <w:jc w:val="left"/>
        <w:rPr>
          <w:rFonts w:ascii="仿宋_GB2312" w:hAnsi="仿宋_GB2312" w:eastAsia="仿宋_GB2312" w:cs="仿宋_GB2312"/>
          <w:sz w:val="28"/>
          <w:szCs w:val="24"/>
        </w:rPr>
      </w:pP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比选申请人：</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（盖章） </w:t>
      </w:r>
    </w:p>
    <w:p>
      <w:pPr>
        <w:spacing w:line="600" w:lineRule="exact"/>
        <w:ind w:firstLine="2240" w:firstLineChars="8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法定代表人签字：</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（签字或盖章）</w:t>
      </w:r>
    </w:p>
    <w:p>
      <w:pPr>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 </w:t>
      </w:r>
    </w:p>
    <w:p>
      <w:pPr>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 </w:t>
      </w:r>
    </w:p>
    <w:p>
      <w:pPr>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 </w:t>
      </w:r>
    </w:p>
    <w:p>
      <w:pPr>
        <w:spacing w:line="600" w:lineRule="exact"/>
        <w:ind w:firstLine="5600" w:firstLineChars="20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年   月  </w:t>
      </w: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日</w:t>
      </w:r>
    </w:p>
    <w:p>
      <w:pPr>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br w:type="page"/>
      </w:r>
      <w:bookmarkStart w:id="54" w:name="_Toc455607505"/>
      <w:bookmarkStart w:id="55" w:name="_Toc456166142"/>
      <w:r>
        <w:rPr>
          <w:rFonts w:hint="eastAsia" w:ascii="仿宋_GB2312" w:hAnsi="仿宋_GB2312" w:eastAsia="仿宋_GB2312" w:cs="仿宋_GB2312"/>
          <w:sz w:val="28"/>
          <w:szCs w:val="24"/>
        </w:rPr>
        <w:t>（二）法定代表人授权委托书格式</w:t>
      </w:r>
      <w:bookmarkEnd w:id="54"/>
      <w:bookmarkEnd w:id="55"/>
    </w:p>
    <w:p>
      <w:pPr>
        <w:snapToGrid w:val="0"/>
        <w:spacing w:line="600" w:lineRule="exact"/>
        <w:jc w:val="center"/>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授权委托书</w:t>
      </w:r>
    </w:p>
    <w:p>
      <w:pPr>
        <w:snapToGrid w:val="0"/>
        <w:spacing w:line="600" w:lineRule="exact"/>
        <w:rPr>
          <w:rFonts w:ascii="仿宋_GB2312" w:hAnsi="仿宋_GB2312" w:eastAsia="仿宋_GB2312" w:cs="仿宋_GB2312"/>
          <w:sz w:val="28"/>
          <w:szCs w:val="24"/>
          <w:u w:val="single"/>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rPr>
        <w:t>四川成渝高速公路股份有限公司成渝分公司</w:t>
      </w:r>
    </w:p>
    <w:p>
      <w:pPr>
        <w:autoSpaceDE w:val="0"/>
        <w:autoSpaceDN w:val="0"/>
        <w:adjustRightInd w:val="0"/>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本授权委托书宣告：注册于  （地址）  的  （公司名称）  的法定代表人 （姓名、职务） ，授权  （被授权人所在单位详细名称）  的  （被授权人的姓名及职务）  为我单位代理人，该代理人有权在</w:t>
      </w:r>
      <w:r>
        <w:rPr>
          <w:rFonts w:hint="eastAsia" w:ascii="仿宋_GB2312" w:hAnsi="仿宋_GB2312" w:eastAsia="仿宋_GB2312" w:cs="仿宋_GB2312"/>
          <w:sz w:val="28"/>
          <w:szCs w:val="24"/>
          <w:u w:val="single"/>
        </w:rPr>
        <w:t>四川成渝高速公路股份有限公司成渝分公司周期性安全咨询服务项目</w:t>
      </w:r>
      <w:r>
        <w:rPr>
          <w:rFonts w:hint="eastAsia" w:ascii="仿宋_GB2312" w:hAnsi="仿宋_GB2312" w:eastAsia="仿宋_GB2312" w:cs="仿宋_GB2312"/>
          <w:sz w:val="28"/>
          <w:szCs w:val="24"/>
        </w:rPr>
        <w:t>比选活动中，以本公司名义处理一切与之有关的事务，包括但不限于：提交、签署比选文件；参加比选活动、接受质询；中选后与比选人洽谈、签署合同及有关文件等。</w:t>
      </w:r>
    </w:p>
    <w:p>
      <w:pPr>
        <w:autoSpaceDE w:val="0"/>
        <w:autoSpaceDN w:val="0"/>
        <w:adjustRightInd w:val="0"/>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本授权书于  年  月  日签字生效，特此声明。</w:t>
      </w:r>
    </w:p>
    <w:p>
      <w:pPr>
        <w:spacing w:line="600" w:lineRule="exact"/>
        <w:rPr>
          <w:rFonts w:ascii="仿宋_GB2312" w:hAnsi="仿宋_GB2312" w:eastAsia="仿宋_GB2312" w:cs="仿宋_GB2312"/>
          <w:sz w:val="28"/>
          <w:szCs w:val="24"/>
        </w:rPr>
      </w:pPr>
    </w:p>
    <w:p>
      <w:pPr>
        <w:spacing w:line="600" w:lineRule="exact"/>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附：法定代表人身份证复印件及授权代理人身份证复印件</w:t>
      </w:r>
    </w:p>
    <w:p>
      <w:pPr>
        <w:spacing w:line="600" w:lineRule="exact"/>
        <w:rPr>
          <w:rFonts w:ascii="仿宋_GB2312" w:hAnsi="仿宋_GB2312" w:eastAsia="仿宋_GB2312" w:cs="仿宋_GB2312"/>
          <w:sz w:val="28"/>
          <w:szCs w:val="24"/>
        </w:rPr>
      </w:pPr>
    </w:p>
    <w:p>
      <w:pPr>
        <w:spacing w:line="600" w:lineRule="exact"/>
        <w:ind w:firstLine="3640" w:firstLineChars="1300"/>
        <w:rPr>
          <w:rFonts w:ascii="仿宋_GB2312" w:hAnsi="仿宋_GB2312" w:eastAsia="仿宋_GB2312" w:cs="仿宋_GB2312"/>
          <w:sz w:val="28"/>
          <w:szCs w:val="24"/>
        </w:rPr>
      </w:pPr>
      <w:r>
        <w:rPr>
          <w:rFonts w:hint="eastAsia" w:ascii="仿宋_GB2312" w:hAnsi="仿宋_GB2312" w:eastAsia="仿宋_GB2312" w:cs="仿宋_GB2312"/>
          <w:sz w:val="28"/>
          <w:szCs w:val="24"/>
        </w:rPr>
        <w:t>比选申请人：</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（盖章）</w:t>
      </w:r>
    </w:p>
    <w:p>
      <w:pPr>
        <w:spacing w:line="600" w:lineRule="exact"/>
        <w:ind w:firstLine="3640" w:firstLineChars="13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pPr>
        <w:spacing w:line="600" w:lineRule="exact"/>
        <w:ind w:firstLine="3640" w:firstLineChars="1300"/>
        <w:rPr>
          <w:rFonts w:ascii="仿宋_GB2312" w:hAnsi="仿宋_GB2312" w:eastAsia="仿宋_GB2312" w:cs="仿宋_GB2312"/>
          <w:sz w:val="28"/>
          <w:szCs w:val="24"/>
        </w:rPr>
      </w:pPr>
      <w:r>
        <w:rPr>
          <w:rFonts w:hint="eastAsia" w:ascii="仿宋_GB2312" w:hAnsi="仿宋_GB2312" w:eastAsia="仿宋_GB2312" w:cs="仿宋_GB2312"/>
          <w:sz w:val="28"/>
          <w:szCs w:val="24"/>
        </w:rPr>
        <w:t>身份证号码：</w:t>
      </w:r>
    </w:p>
    <w:p>
      <w:pPr>
        <w:spacing w:line="600" w:lineRule="exact"/>
        <w:ind w:firstLine="3640" w:firstLineChars="1300"/>
        <w:rPr>
          <w:rFonts w:ascii="仿宋_GB2312" w:hAnsi="仿宋_GB2312" w:eastAsia="仿宋_GB2312" w:cs="仿宋_GB2312"/>
          <w:sz w:val="28"/>
          <w:szCs w:val="24"/>
        </w:rPr>
      </w:pPr>
      <w:r>
        <w:rPr>
          <w:rFonts w:hint="eastAsia" w:ascii="仿宋_GB2312" w:hAnsi="仿宋_GB2312" w:eastAsia="仿宋_GB2312" w:cs="仿宋_GB2312"/>
          <w:sz w:val="28"/>
          <w:szCs w:val="24"/>
        </w:rPr>
        <w:t>授权代理人：</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pPr>
        <w:spacing w:line="600" w:lineRule="exact"/>
        <w:ind w:firstLine="3640" w:firstLineChars="1300"/>
        <w:rPr>
          <w:rFonts w:ascii="仿宋_GB2312" w:hAnsi="仿宋_GB2312" w:eastAsia="仿宋_GB2312" w:cs="仿宋_GB2312"/>
          <w:sz w:val="28"/>
          <w:szCs w:val="24"/>
        </w:rPr>
      </w:pPr>
      <w:r>
        <w:rPr>
          <w:rFonts w:hint="eastAsia" w:ascii="仿宋_GB2312" w:hAnsi="仿宋_GB2312" w:eastAsia="仿宋_GB2312" w:cs="仿宋_GB2312"/>
          <w:sz w:val="28"/>
          <w:szCs w:val="24"/>
        </w:rPr>
        <w:t>身份证号码：</w:t>
      </w:r>
    </w:p>
    <w:p>
      <w:pPr>
        <w:spacing w:line="600" w:lineRule="exact"/>
        <w:ind w:firstLine="3780" w:firstLineChars="1350"/>
        <w:rPr>
          <w:rFonts w:ascii="仿宋_GB2312" w:hAnsi="仿宋_GB2312" w:eastAsia="仿宋_GB2312" w:cs="仿宋_GB2312"/>
          <w:sz w:val="28"/>
          <w:szCs w:val="24"/>
        </w:rPr>
      </w:pPr>
    </w:p>
    <w:p>
      <w:pPr>
        <w:spacing w:line="360" w:lineRule="auto"/>
        <w:ind w:firstLine="420" w:firstLineChars="150"/>
        <w:jc w:val="left"/>
        <w:rPr>
          <w:rFonts w:ascii="仿宋_GB2312" w:hAnsi="仿宋_GB2312" w:eastAsia="仿宋_GB2312" w:cs="仿宋_GB2312"/>
          <w:sz w:val="28"/>
          <w:szCs w:val="24"/>
        </w:rPr>
      </w:pP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 注</w:t>
      </w:r>
      <w:r>
        <w:rPr>
          <w:rFonts w:ascii="仿宋_GB2312" w:hAnsi="仿宋_GB2312" w:eastAsia="仿宋_GB2312" w:cs="仿宋_GB2312"/>
          <w:sz w:val="28"/>
          <w:szCs w:val="24"/>
        </w:rPr>
        <w:t>：如果由比选申请人的法定代表人签署比选文件，则无须提交授权委托书。法定代表人的签名必须是亲笔签名，不得使用印章、签名章或其他电子制版签名。应附法定代表人身份证复印件，并保证清晰有效。</w:t>
      </w:r>
    </w:p>
    <w:p>
      <w:pPr>
        <w:spacing w:line="600" w:lineRule="exact"/>
        <w:ind w:firstLine="6720" w:firstLineChars="24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年  月  日</w:t>
      </w:r>
      <w:bookmarkEnd w:id="29"/>
      <w:bookmarkEnd w:id="30"/>
    </w:p>
    <w:p>
      <w:pPr>
        <w:pStyle w:val="4"/>
        <w:spacing w:before="0" w:after="0" w:line="600" w:lineRule="exact"/>
        <w:rPr>
          <w:rFonts w:ascii="仿宋_GB2312" w:hAnsi="仿宋_GB2312" w:eastAsia="仿宋_GB2312" w:cs="仿宋_GB2312"/>
          <w:kern w:val="2"/>
          <w:sz w:val="28"/>
          <w:szCs w:val="24"/>
        </w:rPr>
      </w:pPr>
      <w:r>
        <w:rPr>
          <w:rFonts w:hint="eastAsia" w:ascii="仿宋_GB2312" w:hAnsi="仿宋_GB2312" w:eastAsia="仿宋_GB2312" w:cs="仿宋_GB2312"/>
          <w:kern w:val="2"/>
          <w:sz w:val="28"/>
          <w:szCs w:val="24"/>
        </w:rPr>
        <w:t>四 、服务承诺书格式</w:t>
      </w:r>
    </w:p>
    <w:p>
      <w:pPr>
        <w:snapToGrid w:val="0"/>
        <w:spacing w:line="600" w:lineRule="exact"/>
        <w:rPr>
          <w:rFonts w:ascii="仿宋_GB2312" w:hAnsi="仿宋_GB2312" w:eastAsia="仿宋_GB2312" w:cs="仿宋_GB2312"/>
          <w:b/>
          <w:bCs/>
          <w:sz w:val="28"/>
          <w:szCs w:val="24"/>
        </w:rPr>
      </w:pPr>
    </w:p>
    <w:p>
      <w:pPr>
        <w:snapToGrid w:val="0"/>
        <w:spacing w:line="600" w:lineRule="exact"/>
        <w:jc w:val="center"/>
        <w:rPr>
          <w:rFonts w:ascii="仿宋_GB2312" w:hAnsi="仿宋_GB2312" w:eastAsia="仿宋_GB2312" w:cs="仿宋_GB2312"/>
          <w:b/>
          <w:bCs/>
          <w:sz w:val="28"/>
          <w:szCs w:val="24"/>
        </w:rPr>
      </w:pPr>
      <w:r>
        <w:rPr>
          <w:rFonts w:hint="eastAsia" w:ascii="仿宋_GB2312" w:hAnsi="仿宋_GB2312" w:eastAsia="仿宋_GB2312" w:cs="仿宋_GB2312"/>
          <w:b/>
          <w:bCs/>
          <w:sz w:val="28"/>
          <w:szCs w:val="24"/>
        </w:rPr>
        <w:t>服务承诺书</w:t>
      </w:r>
    </w:p>
    <w:p>
      <w:pPr>
        <w:snapToGrid w:val="0"/>
        <w:spacing w:line="600" w:lineRule="exact"/>
        <w:jc w:val="center"/>
        <w:rPr>
          <w:rFonts w:ascii="仿宋_GB2312" w:hAnsi="仿宋_GB2312" w:eastAsia="仿宋_GB2312" w:cs="仿宋_GB2312"/>
          <w:b/>
          <w:bCs/>
          <w:sz w:val="28"/>
          <w:szCs w:val="24"/>
        </w:rPr>
      </w:pPr>
    </w:p>
    <w:p>
      <w:pPr>
        <w:spacing w:line="600" w:lineRule="exact"/>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四川成渝高速公路股份有限公司成渝分公司</w:t>
      </w:r>
      <w:r>
        <w:rPr>
          <w:rFonts w:hint="eastAsia" w:ascii="仿宋_GB2312" w:hAnsi="仿宋_GB2312" w:eastAsia="仿宋_GB2312" w:cs="仿宋_GB2312"/>
          <w:sz w:val="28"/>
          <w:szCs w:val="24"/>
        </w:rPr>
        <w:t xml:space="preserve"> :</w:t>
      </w:r>
    </w:p>
    <w:p>
      <w:pPr>
        <w:spacing w:line="600" w:lineRule="exact"/>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方以诚实、守信的态度参加贵方的比选活动并郑重承诺，在参选过程中，不发生因我方原因造成的违背下列承诺之一的行为或出现其它严重损害贵方利益的行为。如有发生，我方自愿放弃比选申请，且自我方行为被贵方认定之日起两年内，贵方有权不接受我方在贵方比选活动中的报价申请，两年后如我方不能有效证明信誉的改善，贵方仍有权拒绝我方的报价申请。</w:t>
      </w:r>
    </w:p>
    <w:p>
      <w:pPr>
        <w:spacing w:line="600" w:lineRule="exact"/>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1、我方承诺不发生弄虚作假骗取中选、中选后非贵方原因放弃中选的行为。如在中选后发现我方申请资料不符合比选要求或资料载明条件发生变化而不符合比选要求，你方有权取消我方中选人资格，另选中选人。</w:t>
      </w:r>
    </w:p>
    <w:p>
      <w:pPr>
        <w:spacing w:line="600" w:lineRule="exact"/>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2、我方承诺不发生任何串通与项目有关的单位而损害贵方或国家利益的行为。</w:t>
      </w:r>
    </w:p>
    <w:p>
      <w:pPr>
        <w:spacing w:line="600" w:lineRule="exact"/>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3、如我单位中选，我方承诺：</w:t>
      </w:r>
    </w:p>
    <w:p>
      <w:pPr>
        <w:spacing w:line="600" w:lineRule="exact"/>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（1）在项目咨询时，我方保证接受贵方在服务内容、服务要求、费用支付额度及支付方式、服务质量等方面的管理规定。</w:t>
      </w:r>
    </w:p>
    <w:p>
      <w:pPr>
        <w:spacing w:line="600" w:lineRule="exact"/>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（2）不发生出具虚假成果或报告的行为。</w:t>
      </w:r>
    </w:p>
    <w:p>
      <w:pPr>
        <w:spacing w:line="600" w:lineRule="exact"/>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（3）不发生因我方原因造成咨询服务出现重大失误的行为。</w:t>
      </w:r>
    </w:p>
    <w:p>
      <w:pPr>
        <w:spacing w:line="600" w:lineRule="exact"/>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（4）将接受贵方对咨询机构的考核管理办法及其他管理规定。</w:t>
      </w:r>
    </w:p>
    <w:p>
      <w:pPr>
        <w:spacing w:line="600" w:lineRule="exact"/>
        <w:ind w:firstLine="560" w:firstLineChars="200"/>
        <w:rPr>
          <w:rFonts w:ascii="仿宋_GB2312" w:hAnsi="仿宋_GB2312" w:eastAsia="仿宋_GB2312" w:cs="仿宋_GB2312"/>
          <w:sz w:val="28"/>
          <w:szCs w:val="24"/>
        </w:rPr>
      </w:pPr>
    </w:p>
    <w:p>
      <w:pPr>
        <w:spacing w:line="600" w:lineRule="exact"/>
        <w:ind w:firstLine="560" w:firstLineChars="200"/>
        <w:rPr>
          <w:rFonts w:ascii="仿宋_GB2312" w:hAnsi="仿宋_GB2312" w:eastAsia="仿宋_GB2312" w:cs="仿宋_GB2312"/>
          <w:sz w:val="28"/>
          <w:szCs w:val="24"/>
        </w:rPr>
      </w:pPr>
    </w:p>
    <w:p>
      <w:pPr>
        <w:spacing w:line="600" w:lineRule="exact"/>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4、比选文件、比选申请文件中的实质性条款也属我方承诺的内容。</w:t>
      </w:r>
    </w:p>
    <w:p>
      <w:pPr>
        <w:spacing w:line="600" w:lineRule="exact"/>
        <w:ind w:firstLine="560" w:firstLineChars="200"/>
        <w:rPr>
          <w:rFonts w:ascii="仿宋_GB2312" w:hAnsi="仿宋_GB2312" w:eastAsia="仿宋_GB2312" w:cs="仿宋_GB2312"/>
          <w:sz w:val="28"/>
          <w:szCs w:val="24"/>
        </w:rPr>
      </w:pPr>
    </w:p>
    <w:p>
      <w:pPr>
        <w:spacing w:line="600" w:lineRule="exact"/>
        <w:ind w:firstLine="560" w:firstLineChars="200"/>
        <w:rPr>
          <w:rFonts w:ascii="仿宋_GB2312" w:hAnsi="仿宋_GB2312" w:eastAsia="仿宋_GB2312" w:cs="仿宋_GB2312"/>
          <w:sz w:val="28"/>
          <w:szCs w:val="24"/>
        </w:rPr>
      </w:pPr>
    </w:p>
    <w:p>
      <w:pPr>
        <w:snapToGrid w:val="0"/>
        <w:spacing w:line="600" w:lineRule="exact"/>
        <w:jc w:val="right"/>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比选申请人： </w:t>
      </w: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 xml:space="preserve"> </w:t>
      </w: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 xml:space="preserve"> </w:t>
      </w: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 xml:space="preserve">      </w:t>
      </w: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 xml:space="preserve">  （盖章）</w:t>
      </w:r>
    </w:p>
    <w:p>
      <w:pPr>
        <w:snapToGrid w:val="0"/>
        <w:spacing w:line="600" w:lineRule="exact"/>
        <w:jc w:val="right"/>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法定代表人或其授权的代理人：  </w:t>
      </w: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 xml:space="preserve"> </w:t>
      </w: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 xml:space="preserve">    （签字）</w:t>
      </w:r>
    </w:p>
    <w:p>
      <w:pPr>
        <w:spacing w:line="600" w:lineRule="exact"/>
        <w:rPr>
          <w:rFonts w:ascii="仿宋_GB2312" w:hAnsi="仿宋_GB2312" w:eastAsia="仿宋_GB2312" w:cs="仿宋_GB2312"/>
          <w:sz w:val="28"/>
          <w:szCs w:val="24"/>
        </w:rPr>
      </w:pPr>
    </w:p>
    <w:p>
      <w:pPr>
        <w:snapToGrid w:val="0"/>
        <w:spacing w:line="600" w:lineRule="exact"/>
        <w:jc w:val="right"/>
        <w:rPr>
          <w:rFonts w:ascii="仿宋_GB2312" w:hAnsi="仿宋_GB2312" w:eastAsia="仿宋_GB2312" w:cs="仿宋_GB2312"/>
          <w:sz w:val="28"/>
          <w:szCs w:val="24"/>
        </w:rPr>
      </w:pPr>
      <w:r>
        <w:rPr>
          <w:rFonts w:hint="eastAsia" w:ascii="仿宋_GB2312" w:hAnsi="仿宋_GB2312" w:eastAsia="仿宋_GB2312" w:cs="仿宋_GB2312"/>
          <w:sz w:val="28"/>
          <w:szCs w:val="24"/>
        </w:rPr>
        <w:t>日期：______年___月___日</w:t>
      </w:r>
    </w:p>
    <w:p>
      <w:pPr>
        <w:numPr>
          <w:ilvl w:val="255"/>
          <w:numId w:val="0"/>
        </w:numPr>
        <w:spacing w:line="600" w:lineRule="exact"/>
        <w:rPr>
          <w:rFonts w:ascii="仿宋_GB2312" w:hAnsi="仿宋_GB2312" w:eastAsia="仿宋_GB2312" w:cs="仿宋_GB2312"/>
          <w:sz w:val="28"/>
          <w:szCs w:val="24"/>
        </w:rPr>
      </w:pPr>
    </w:p>
    <w:p>
      <w:pPr>
        <w:numPr>
          <w:ilvl w:val="255"/>
          <w:numId w:val="0"/>
        </w:numPr>
        <w:spacing w:line="600" w:lineRule="exact"/>
        <w:rPr>
          <w:rFonts w:ascii="仿宋_GB2312" w:hAnsi="仿宋_GB2312" w:eastAsia="仿宋_GB2312" w:cs="仿宋_GB2312"/>
          <w:sz w:val="28"/>
          <w:szCs w:val="24"/>
        </w:rPr>
      </w:pPr>
    </w:p>
    <w:p>
      <w:pPr>
        <w:numPr>
          <w:ilvl w:val="255"/>
          <w:numId w:val="0"/>
        </w:numPr>
        <w:spacing w:line="600" w:lineRule="exact"/>
        <w:rPr>
          <w:rFonts w:ascii="仿宋_GB2312" w:hAnsi="仿宋_GB2312" w:eastAsia="仿宋_GB2312" w:cs="仿宋_GB2312"/>
          <w:sz w:val="28"/>
          <w:szCs w:val="24"/>
        </w:rPr>
      </w:pPr>
    </w:p>
    <w:p>
      <w:pPr>
        <w:numPr>
          <w:ilvl w:val="255"/>
          <w:numId w:val="0"/>
        </w:numPr>
        <w:spacing w:line="600" w:lineRule="exact"/>
        <w:rPr>
          <w:rFonts w:ascii="仿宋_GB2312" w:hAnsi="仿宋_GB2312" w:eastAsia="仿宋_GB2312" w:cs="仿宋_GB2312"/>
          <w:sz w:val="28"/>
          <w:szCs w:val="24"/>
        </w:rPr>
      </w:pPr>
    </w:p>
    <w:p>
      <w:pPr>
        <w:numPr>
          <w:ilvl w:val="255"/>
          <w:numId w:val="0"/>
        </w:numPr>
        <w:spacing w:line="600" w:lineRule="exact"/>
        <w:rPr>
          <w:rFonts w:ascii="仿宋_GB2312" w:hAnsi="仿宋_GB2312" w:eastAsia="仿宋_GB2312" w:cs="仿宋_GB2312"/>
          <w:sz w:val="28"/>
          <w:szCs w:val="24"/>
        </w:rPr>
      </w:pPr>
    </w:p>
    <w:p>
      <w:pPr>
        <w:numPr>
          <w:ilvl w:val="255"/>
          <w:numId w:val="0"/>
        </w:numPr>
        <w:spacing w:line="600" w:lineRule="exact"/>
        <w:rPr>
          <w:rFonts w:ascii="仿宋_GB2312" w:hAnsi="仿宋_GB2312" w:eastAsia="仿宋_GB2312" w:cs="仿宋_GB2312"/>
          <w:sz w:val="28"/>
          <w:szCs w:val="24"/>
        </w:rPr>
      </w:pPr>
    </w:p>
    <w:p>
      <w:pPr>
        <w:numPr>
          <w:ilvl w:val="255"/>
          <w:numId w:val="0"/>
        </w:numPr>
        <w:spacing w:line="600" w:lineRule="exact"/>
        <w:rPr>
          <w:rFonts w:ascii="仿宋_GB2312" w:hAnsi="仿宋_GB2312" w:eastAsia="仿宋_GB2312" w:cs="仿宋_GB2312"/>
          <w:sz w:val="28"/>
          <w:szCs w:val="24"/>
        </w:rPr>
      </w:pPr>
    </w:p>
    <w:p>
      <w:pPr>
        <w:numPr>
          <w:ilvl w:val="255"/>
          <w:numId w:val="0"/>
        </w:numPr>
        <w:spacing w:line="600" w:lineRule="exact"/>
        <w:rPr>
          <w:rFonts w:ascii="仿宋_GB2312" w:hAnsi="仿宋_GB2312" w:eastAsia="仿宋_GB2312" w:cs="仿宋_GB2312"/>
          <w:sz w:val="28"/>
          <w:szCs w:val="24"/>
        </w:rPr>
      </w:pPr>
    </w:p>
    <w:p>
      <w:pPr>
        <w:numPr>
          <w:ilvl w:val="255"/>
          <w:numId w:val="0"/>
        </w:numPr>
        <w:spacing w:line="600" w:lineRule="exact"/>
        <w:rPr>
          <w:rFonts w:ascii="仿宋_GB2312" w:hAnsi="仿宋_GB2312" w:eastAsia="仿宋_GB2312" w:cs="仿宋_GB2312"/>
          <w:sz w:val="28"/>
          <w:szCs w:val="24"/>
        </w:rPr>
      </w:pPr>
    </w:p>
    <w:p>
      <w:pPr>
        <w:numPr>
          <w:ilvl w:val="255"/>
          <w:numId w:val="0"/>
        </w:numPr>
        <w:spacing w:line="600" w:lineRule="exact"/>
        <w:rPr>
          <w:rFonts w:ascii="仿宋_GB2312" w:hAnsi="仿宋_GB2312" w:eastAsia="仿宋_GB2312" w:cs="仿宋_GB2312"/>
          <w:sz w:val="28"/>
          <w:szCs w:val="24"/>
        </w:rPr>
      </w:pPr>
    </w:p>
    <w:p>
      <w:pPr>
        <w:numPr>
          <w:ilvl w:val="255"/>
          <w:numId w:val="0"/>
        </w:numPr>
        <w:spacing w:line="600" w:lineRule="exact"/>
        <w:rPr>
          <w:rFonts w:ascii="仿宋_GB2312" w:hAnsi="仿宋_GB2312" w:eastAsia="仿宋_GB2312" w:cs="仿宋_GB2312"/>
          <w:sz w:val="28"/>
          <w:szCs w:val="24"/>
        </w:rPr>
      </w:pPr>
    </w:p>
    <w:p>
      <w:pPr>
        <w:numPr>
          <w:ilvl w:val="255"/>
          <w:numId w:val="0"/>
        </w:numPr>
        <w:spacing w:line="600" w:lineRule="exact"/>
        <w:rPr>
          <w:rFonts w:ascii="仿宋_GB2312" w:hAnsi="仿宋_GB2312" w:eastAsia="仿宋_GB2312" w:cs="仿宋_GB2312"/>
          <w:sz w:val="28"/>
          <w:szCs w:val="24"/>
        </w:rPr>
      </w:pPr>
    </w:p>
    <w:p>
      <w:pPr>
        <w:numPr>
          <w:ilvl w:val="255"/>
          <w:numId w:val="0"/>
        </w:numPr>
        <w:spacing w:line="600" w:lineRule="exact"/>
        <w:rPr>
          <w:rFonts w:ascii="仿宋_GB2312" w:hAnsi="仿宋_GB2312" w:eastAsia="仿宋_GB2312" w:cs="仿宋_GB2312"/>
          <w:sz w:val="28"/>
          <w:szCs w:val="24"/>
        </w:rPr>
      </w:pPr>
    </w:p>
    <w:p>
      <w:pPr>
        <w:numPr>
          <w:ilvl w:val="255"/>
          <w:numId w:val="0"/>
        </w:numPr>
        <w:spacing w:line="600" w:lineRule="exact"/>
        <w:rPr>
          <w:rFonts w:ascii="仿宋_GB2312" w:hAnsi="仿宋_GB2312" w:eastAsia="仿宋_GB2312" w:cs="仿宋_GB2312"/>
          <w:sz w:val="28"/>
          <w:szCs w:val="24"/>
        </w:rPr>
      </w:pPr>
    </w:p>
    <w:p>
      <w:pPr>
        <w:numPr>
          <w:ilvl w:val="255"/>
          <w:numId w:val="0"/>
        </w:numPr>
        <w:spacing w:line="600" w:lineRule="exact"/>
        <w:rPr>
          <w:rFonts w:ascii="仿宋_GB2312" w:hAnsi="仿宋_GB2312" w:eastAsia="仿宋_GB2312" w:cs="仿宋_GB2312"/>
          <w:sz w:val="28"/>
          <w:szCs w:val="24"/>
        </w:rPr>
      </w:pPr>
    </w:p>
    <w:p>
      <w:pPr>
        <w:pStyle w:val="4"/>
        <w:spacing w:before="0" w:after="0" w:line="600" w:lineRule="exact"/>
        <w:rPr>
          <w:rFonts w:ascii="仿宋_GB2312" w:hAnsi="仿宋_GB2312" w:eastAsia="仿宋_GB2312" w:cs="仿宋_GB2312"/>
          <w:kern w:val="2"/>
          <w:sz w:val="28"/>
          <w:szCs w:val="24"/>
        </w:rPr>
      </w:pPr>
      <w:r>
        <w:rPr>
          <w:rFonts w:hint="eastAsia" w:ascii="仿宋_GB2312" w:hAnsi="仿宋_GB2312" w:eastAsia="仿宋_GB2312" w:cs="仿宋_GB2312"/>
          <w:kern w:val="2"/>
          <w:sz w:val="28"/>
          <w:szCs w:val="24"/>
        </w:rPr>
        <w:t>五、</w:t>
      </w:r>
      <w:r>
        <w:rPr>
          <w:rFonts w:hint="eastAsia" w:ascii="仿宋_GB2312" w:hAnsi="仿宋_GB2312" w:eastAsia="仿宋_GB2312" w:cs="仿宋_GB2312"/>
          <w:sz w:val="28"/>
          <w:szCs w:val="24"/>
        </w:rPr>
        <w:t>资格审查相关资料</w:t>
      </w:r>
    </w:p>
    <w:p>
      <w:pPr>
        <w:numPr>
          <w:ilvl w:val="255"/>
          <w:numId w:val="0"/>
        </w:numPr>
        <w:spacing w:line="600" w:lineRule="exact"/>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近三年（2020年1月1日至今）仲裁或诉讼、工作质量等问题受到相关行政主管部门行政处罚或市场禁入情况。</w:t>
      </w:r>
    </w:p>
    <w:p>
      <w:pPr>
        <w:numPr>
          <w:ilvl w:val="255"/>
          <w:numId w:val="0"/>
        </w:numPr>
        <w:spacing w:line="600" w:lineRule="exact"/>
        <w:jc w:val="center"/>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 xml:space="preserve">声 </w:t>
      </w:r>
      <w:r>
        <w:rPr>
          <w:rFonts w:hint="eastAsia" w:ascii="仿宋_GB2312" w:hAnsi="仿宋_GB2312" w:eastAsia="仿宋_GB2312" w:cs="仿宋_GB2312"/>
          <w:b/>
          <w:bCs/>
          <w:sz w:val="36"/>
          <w:szCs w:val="36"/>
        </w:rPr>
        <w:tab/>
      </w:r>
      <w:r>
        <w:rPr>
          <w:rFonts w:hint="eastAsia" w:ascii="仿宋_GB2312" w:hAnsi="仿宋_GB2312" w:eastAsia="仿宋_GB2312" w:cs="仿宋_GB2312"/>
          <w:b/>
          <w:bCs/>
          <w:sz w:val="36"/>
          <w:szCs w:val="36"/>
        </w:rPr>
        <w:t>明</w:t>
      </w:r>
    </w:p>
    <w:p>
      <w:pPr>
        <w:numPr>
          <w:ilvl w:val="255"/>
          <w:numId w:val="0"/>
        </w:numPr>
        <w:spacing w:line="60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rPr>
        <w:t>四川成渝高速公路股份有限公司成渝分公司</w:t>
      </w:r>
    </w:p>
    <w:p>
      <w:pPr>
        <w:numPr>
          <w:ilvl w:val="255"/>
          <w:numId w:val="0"/>
        </w:numPr>
        <w:spacing w:line="600" w:lineRule="exact"/>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本机构</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（比选申请人名称）现参加</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（项目名称）的比选，本机构特此声明：</w:t>
      </w:r>
    </w:p>
    <w:p>
      <w:pPr>
        <w:numPr>
          <w:ilvl w:val="255"/>
          <w:numId w:val="0"/>
        </w:numPr>
        <w:spacing w:line="600" w:lineRule="exact"/>
        <w:ind w:firstLine="560" w:firstLineChars="200"/>
        <w:rPr>
          <w:rFonts w:ascii="仿宋_GB2312" w:hAnsi="仿宋_GB2312" w:eastAsia="仿宋_GB2312" w:cs="仿宋_GB2312"/>
          <w:sz w:val="28"/>
          <w:szCs w:val="24"/>
        </w:rPr>
      </w:pPr>
      <w:r>
        <w:rPr>
          <w:rFonts w:ascii="仿宋_GB2312" w:hAnsi="仿宋_GB2312" w:eastAsia="仿宋_GB2312" w:cs="仿宋_GB2312"/>
          <w:sz w:val="28"/>
          <w:szCs w:val="24"/>
        </w:rPr>
        <w:t>1</w:t>
      </w:r>
      <w:r>
        <w:rPr>
          <w:rFonts w:hint="eastAsia" w:ascii="仿宋_GB2312" w:hAnsi="仿宋_GB2312" w:eastAsia="仿宋_GB2312" w:cs="仿宋_GB2312"/>
          <w:sz w:val="28"/>
          <w:szCs w:val="24"/>
        </w:rPr>
        <w:t>.本机构自2020年以来合同履行过程中，没有因违约或违规行为而导致诉讼或仲裁且判决对本机构不利。</w:t>
      </w:r>
    </w:p>
    <w:p>
      <w:pPr>
        <w:numPr>
          <w:ilvl w:val="255"/>
          <w:numId w:val="0"/>
        </w:numPr>
        <w:spacing w:line="600" w:lineRule="exact"/>
        <w:ind w:firstLine="560" w:firstLineChars="200"/>
        <w:rPr>
          <w:rFonts w:ascii="仿宋_GB2312" w:hAnsi="仿宋_GB2312" w:eastAsia="仿宋_GB2312" w:cs="仿宋_GB2312"/>
          <w:sz w:val="28"/>
          <w:szCs w:val="24"/>
        </w:rPr>
      </w:pPr>
      <w:r>
        <w:rPr>
          <w:rFonts w:ascii="仿宋_GB2312" w:hAnsi="仿宋_GB2312" w:eastAsia="仿宋_GB2312" w:cs="仿宋_GB2312"/>
          <w:sz w:val="28"/>
          <w:szCs w:val="24"/>
        </w:rPr>
        <w:t>2</w:t>
      </w:r>
      <w:r>
        <w:rPr>
          <w:rFonts w:hint="eastAsia" w:ascii="仿宋_GB2312" w:hAnsi="仿宋_GB2312" w:eastAsia="仿宋_GB2312" w:cs="仿宋_GB2312"/>
          <w:sz w:val="28"/>
          <w:szCs w:val="24"/>
        </w:rPr>
        <w:t>.本机构在自2020年以来合同履行过程中，没有因本机构违约被逐或因本机构原因而使任何合同被解除。</w:t>
      </w:r>
    </w:p>
    <w:p>
      <w:pPr>
        <w:numPr>
          <w:ilvl w:val="255"/>
          <w:numId w:val="0"/>
        </w:numPr>
        <w:spacing w:line="600" w:lineRule="exact"/>
        <w:ind w:firstLine="560" w:firstLineChars="200"/>
        <w:rPr>
          <w:rFonts w:ascii="仿宋_GB2312" w:hAnsi="仿宋_GB2312" w:eastAsia="仿宋_GB2312" w:cs="仿宋_GB2312"/>
          <w:sz w:val="28"/>
          <w:szCs w:val="24"/>
        </w:rPr>
      </w:pPr>
      <w:r>
        <w:rPr>
          <w:rFonts w:ascii="仿宋_GB2312" w:hAnsi="仿宋_GB2312" w:eastAsia="仿宋_GB2312" w:cs="仿宋_GB2312"/>
          <w:sz w:val="28"/>
          <w:szCs w:val="24"/>
        </w:rPr>
        <w:t>3</w:t>
      </w:r>
      <w:r>
        <w:rPr>
          <w:rFonts w:hint="eastAsia" w:ascii="仿宋_GB2312" w:hAnsi="仿宋_GB2312" w:eastAsia="仿宋_GB2312" w:cs="仿宋_GB2312"/>
          <w:sz w:val="28"/>
          <w:szCs w:val="24"/>
        </w:rPr>
        <w:t>.本机构自2020年未因工作质量等问题受到相关行政主管部门行政处罚或市场禁入。</w:t>
      </w:r>
    </w:p>
    <w:p>
      <w:pPr>
        <w:numPr>
          <w:ilvl w:val="255"/>
          <w:numId w:val="0"/>
        </w:numPr>
        <w:spacing w:line="600" w:lineRule="exact"/>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如违反以上声明，一经查实，本机构愿承担一切法律责任(包括市场禁入、承担赔偿损失等)，同时，比选人有权取消我公司的参选资格或中选资格。</w:t>
      </w:r>
    </w:p>
    <w:p>
      <w:pPr>
        <w:numPr>
          <w:ilvl w:val="255"/>
          <w:numId w:val="0"/>
        </w:numPr>
        <w:spacing w:line="600" w:lineRule="exact"/>
        <w:jc w:val="right"/>
        <w:rPr>
          <w:rFonts w:ascii="仿宋_GB2312" w:hAnsi="仿宋_GB2312" w:eastAsia="仿宋_GB2312" w:cs="仿宋_GB2312"/>
          <w:sz w:val="28"/>
          <w:szCs w:val="24"/>
        </w:rPr>
      </w:pPr>
      <w:r>
        <w:rPr>
          <w:rFonts w:hint="eastAsia" w:ascii="仿宋_GB2312" w:hAnsi="仿宋_GB2312" w:eastAsia="仿宋_GB2312" w:cs="仿宋_GB2312"/>
          <w:sz w:val="28"/>
          <w:szCs w:val="24"/>
        </w:rPr>
        <w:t>比选申请人：（全称、盖单位章）</w:t>
      </w:r>
    </w:p>
    <w:p>
      <w:pPr>
        <w:numPr>
          <w:ilvl w:val="255"/>
          <w:numId w:val="0"/>
        </w:numPr>
        <w:spacing w:line="600" w:lineRule="exact"/>
        <w:jc w:val="right"/>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法定代表人或授权代理人：    </w:t>
      </w: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（签字）</w:t>
      </w:r>
    </w:p>
    <w:p>
      <w:pPr>
        <w:numPr>
          <w:ilvl w:val="255"/>
          <w:numId w:val="0"/>
        </w:numPr>
        <w:spacing w:line="600" w:lineRule="exact"/>
        <w:jc w:val="center"/>
        <w:rPr>
          <w:rFonts w:ascii="仿宋_GB2312" w:hAnsi="仿宋_GB2312" w:eastAsia="仿宋_GB2312" w:cs="仿宋_GB2312"/>
          <w:sz w:val="28"/>
          <w:szCs w:val="24"/>
        </w:rPr>
        <w:sectPr>
          <w:pgSz w:w="11911" w:h="16838"/>
          <w:pgMar w:top="1474" w:right="1474" w:bottom="1474" w:left="1474" w:header="799" w:footer="918" w:gutter="0"/>
          <w:cols w:space="0" w:num="1"/>
        </w:sectPr>
      </w:pPr>
      <w:r>
        <w:rPr>
          <w:rFonts w:hint="eastAsia" w:ascii="仿宋_GB2312" w:hAnsi="仿宋_GB2312" w:eastAsia="仿宋_GB2312" w:cs="仿宋_GB2312"/>
          <w:sz w:val="28"/>
          <w:szCs w:val="24"/>
        </w:rPr>
        <w:t xml:space="preserve">                           日 期:</w:t>
      </w:r>
      <w:r>
        <w:rPr>
          <w:rFonts w:hint="eastAsia" w:ascii="仿宋_GB2312" w:hAnsi="仿宋_GB2312" w:eastAsia="仿宋_GB2312" w:cs="仿宋_GB2312"/>
          <w:sz w:val="28"/>
          <w:szCs w:val="24"/>
        </w:rPr>
        <w:tab/>
      </w:r>
      <w:r>
        <w:rPr>
          <w:rFonts w:hint="eastAsia" w:ascii="仿宋_GB2312" w:hAnsi="仿宋_GB2312" w:eastAsia="仿宋_GB2312" w:cs="仿宋_GB2312"/>
          <w:sz w:val="28"/>
          <w:szCs w:val="24"/>
        </w:rPr>
        <w:t xml:space="preserve">  年</w:t>
      </w:r>
      <w:r>
        <w:rPr>
          <w:rFonts w:hint="eastAsia" w:ascii="仿宋_GB2312" w:hAnsi="仿宋_GB2312" w:eastAsia="仿宋_GB2312" w:cs="仿宋_GB2312"/>
          <w:sz w:val="28"/>
          <w:szCs w:val="24"/>
        </w:rPr>
        <w:tab/>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rPr>
        <w:tab/>
      </w:r>
      <w:r>
        <w:rPr>
          <w:rFonts w:hint="eastAsia" w:ascii="仿宋_GB2312" w:hAnsi="仿宋_GB2312" w:eastAsia="仿宋_GB2312" w:cs="仿宋_GB2312"/>
          <w:sz w:val="28"/>
          <w:szCs w:val="24"/>
        </w:rPr>
        <w:t xml:space="preserve"> 日</w:t>
      </w:r>
    </w:p>
    <w:p>
      <w:pPr>
        <w:pStyle w:val="4"/>
        <w:spacing w:before="0" w:after="0" w:line="600" w:lineRule="exact"/>
        <w:rPr>
          <w:rFonts w:ascii="仿宋_GB2312" w:hAnsi="仿宋_GB2312" w:eastAsia="仿宋_GB2312" w:cs="仿宋_GB2312"/>
          <w:kern w:val="2"/>
          <w:sz w:val="28"/>
          <w:szCs w:val="24"/>
        </w:rPr>
      </w:pPr>
      <w:r>
        <w:rPr>
          <w:rFonts w:hint="eastAsia" w:ascii="仿宋_GB2312" w:hAnsi="仿宋_GB2312" w:eastAsia="仿宋_GB2312" w:cs="仿宋_GB2312"/>
          <w:kern w:val="2"/>
          <w:sz w:val="28"/>
          <w:szCs w:val="24"/>
        </w:rPr>
        <w:t>六、</w:t>
      </w:r>
      <w:r>
        <w:rPr>
          <w:rFonts w:hint="eastAsia" w:ascii="仿宋_GB2312" w:hAnsi="仿宋_GB2312" w:eastAsia="仿宋_GB2312" w:cs="仿宋_GB2312"/>
          <w:sz w:val="28"/>
          <w:szCs w:val="24"/>
        </w:rPr>
        <w:t>拟任项目组主要人员</w:t>
      </w:r>
    </w:p>
    <w:p>
      <w:pPr>
        <w:pStyle w:val="12"/>
        <w:spacing w:before="9"/>
        <w:rPr>
          <w:rFonts w:ascii="仿宋_GB2312" w:hAnsi="仿宋_GB2312" w:eastAsia="仿宋_GB2312" w:cs="仿宋_GB2312"/>
          <w:sz w:val="28"/>
          <w:szCs w:val="24"/>
        </w:rPr>
      </w:pPr>
    </w:p>
    <w:p>
      <w:pPr>
        <w:spacing w:line="364" w:lineRule="auto"/>
        <w:ind w:right="50"/>
        <w:rPr>
          <w:rFonts w:ascii="仿宋_GB2312" w:hAnsi="仿宋_GB2312" w:eastAsia="仿宋_GB2312" w:cs="仿宋_GB2312"/>
          <w:sz w:val="28"/>
          <w:szCs w:val="24"/>
        </w:rPr>
      </w:pPr>
      <w:r>
        <w:rPr>
          <w:rFonts w:hint="eastAsia" w:ascii="仿宋_GB2312" w:hAnsi="仿宋_GB2312" w:eastAsia="仿宋_GB2312" w:cs="仿宋_GB2312"/>
          <w:sz w:val="28"/>
          <w:szCs w:val="24"/>
        </w:rPr>
        <w:t>（一）、项目负责人简历</w:t>
      </w:r>
    </w:p>
    <w:tbl>
      <w:tblPr>
        <w:tblStyle w:val="30"/>
        <w:tblW w:w="8717" w:type="dxa"/>
        <w:tblInd w:w="19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32"/>
        <w:gridCol w:w="1236"/>
        <w:gridCol w:w="899"/>
        <w:gridCol w:w="1619"/>
        <w:gridCol w:w="2048"/>
        <w:gridCol w:w="98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1" w:hRule="atLeast"/>
        </w:trPr>
        <w:tc>
          <w:tcPr>
            <w:tcW w:w="1932" w:type="dxa"/>
            <w:vAlign w:val="center"/>
          </w:tcPr>
          <w:p>
            <w:pPr>
              <w:pStyle w:val="41"/>
              <w:tabs>
                <w:tab w:val="left" w:pos="432"/>
              </w:tabs>
              <w:ind w:left="10"/>
              <w:jc w:val="center"/>
              <w:rPr>
                <w:rFonts w:ascii="仿宋_GB2312" w:hAnsi="仿宋_GB2312" w:eastAsia="仿宋_GB2312" w:cs="仿宋_GB2312"/>
                <w:szCs w:val="21"/>
                <w:lang w:val="en-US" w:bidi="ar-SA"/>
              </w:rPr>
            </w:pPr>
            <w:r>
              <w:rPr>
                <w:rFonts w:hint="eastAsia" w:ascii="仿宋_GB2312" w:hAnsi="仿宋_GB2312" w:eastAsia="仿宋_GB2312" w:cs="仿宋_GB2312"/>
                <w:szCs w:val="21"/>
                <w:lang w:val="en-US" w:bidi="ar-SA"/>
              </w:rPr>
              <w:t>姓</w:t>
            </w:r>
            <w:r>
              <w:rPr>
                <w:rFonts w:hint="eastAsia" w:ascii="仿宋_GB2312" w:hAnsi="仿宋_GB2312" w:eastAsia="仿宋_GB2312" w:cs="仿宋_GB2312"/>
                <w:szCs w:val="21"/>
                <w:lang w:val="en-US" w:bidi="ar-SA"/>
              </w:rPr>
              <w:tab/>
            </w:r>
            <w:r>
              <w:rPr>
                <w:rFonts w:hint="eastAsia" w:ascii="仿宋_GB2312" w:hAnsi="仿宋_GB2312" w:eastAsia="仿宋_GB2312" w:cs="仿宋_GB2312"/>
                <w:szCs w:val="21"/>
                <w:lang w:val="en-US" w:bidi="ar-SA"/>
              </w:rPr>
              <w:t>名</w:t>
            </w:r>
          </w:p>
        </w:tc>
        <w:tc>
          <w:tcPr>
            <w:tcW w:w="1236" w:type="dxa"/>
            <w:vAlign w:val="center"/>
          </w:tcPr>
          <w:p>
            <w:pPr>
              <w:pStyle w:val="41"/>
              <w:tabs>
                <w:tab w:val="left" w:pos="1470"/>
              </w:tabs>
              <w:jc w:val="center"/>
              <w:rPr>
                <w:rFonts w:ascii="仿宋_GB2312" w:hAnsi="仿宋_GB2312" w:eastAsia="仿宋_GB2312" w:cs="仿宋_GB2312"/>
                <w:szCs w:val="21"/>
                <w:lang w:val="en-US" w:bidi="ar-SA"/>
              </w:rPr>
            </w:pPr>
          </w:p>
        </w:tc>
        <w:tc>
          <w:tcPr>
            <w:tcW w:w="899" w:type="dxa"/>
            <w:vAlign w:val="center"/>
          </w:tcPr>
          <w:p>
            <w:pPr>
              <w:pStyle w:val="41"/>
              <w:ind w:left="222" w:right="207"/>
              <w:jc w:val="center"/>
              <w:rPr>
                <w:rFonts w:ascii="仿宋_GB2312" w:hAnsi="仿宋_GB2312" w:eastAsia="仿宋_GB2312" w:cs="仿宋_GB2312"/>
                <w:szCs w:val="21"/>
                <w:lang w:val="en-US" w:bidi="ar-SA"/>
              </w:rPr>
            </w:pPr>
            <w:r>
              <w:rPr>
                <w:rFonts w:hint="eastAsia" w:ascii="仿宋_GB2312" w:hAnsi="仿宋_GB2312" w:eastAsia="仿宋_GB2312" w:cs="仿宋_GB2312"/>
                <w:szCs w:val="21"/>
                <w:lang w:val="en-US" w:bidi="ar-SA"/>
              </w:rPr>
              <w:t>年龄</w:t>
            </w:r>
          </w:p>
        </w:tc>
        <w:tc>
          <w:tcPr>
            <w:tcW w:w="1619" w:type="dxa"/>
            <w:vAlign w:val="center"/>
          </w:tcPr>
          <w:p>
            <w:pPr>
              <w:pStyle w:val="41"/>
              <w:jc w:val="center"/>
              <w:rPr>
                <w:rFonts w:ascii="仿宋_GB2312" w:hAnsi="仿宋_GB2312" w:eastAsia="仿宋_GB2312" w:cs="仿宋_GB2312"/>
                <w:szCs w:val="21"/>
                <w:lang w:val="en-US" w:bidi="ar-SA"/>
              </w:rPr>
            </w:pPr>
          </w:p>
        </w:tc>
        <w:tc>
          <w:tcPr>
            <w:tcW w:w="2048" w:type="dxa"/>
            <w:vAlign w:val="center"/>
          </w:tcPr>
          <w:p>
            <w:pPr>
              <w:pStyle w:val="41"/>
              <w:tabs>
                <w:tab w:val="left" w:pos="440"/>
              </w:tabs>
              <w:ind w:left="18"/>
              <w:jc w:val="center"/>
              <w:rPr>
                <w:rFonts w:ascii="仿宋_GB2312" w:hAnsi="仿宋_GB2312" w:eastAsia="仿宋_GB2312" w:cs="仿宋_GB2312"/>
                <w:szCs w:val="21"/>
                <w:lang w:val="en-US" w:bidi="ar-SA"/>
              </w:rPr>
            </w:pPr>
            <w:r>
              <w:rPr>
                <w:rFonts w:hint="eastAsia" w:ascii="仿宋_GB2312" w:hAnsi="仿宋_GB2312" w:eastAsia="仿宋_GB2312" w:cs="仿宋_GB2312"/>
                <w:szCs w:val="21"/>
                <w:lang w:val="en-US" w:bidi="ar-SA"/>
              </w:rPr>
              <w:t>专</w:t>
            </w:r>
            <w:r>
              <w:rPr>
                <w:rFonts w:hint="eastAsia" w:ascii="仿宋_GB2312" w:hAnsi="仿宋_GB2312" w:eastAsia="仿宋_GB2312" w:cs="仿宋_GB2312"/>
                <w:szCs w:val="21"/>
                <w:lang w:val="en-US" w:bidi="ar-SA"/>
              </w:rPr>
              <w:tab/>
            </w:r>
            <w:r>
              <w:rPr>
                <w:rFonts w:hint="eastAsia" w:ascii="仿宋_GB2312" w:hAnsi="仿宋_GB2312" w:eastAsia="仿宋_GB2312" w:cs="仿宋_GB2312"/>
                <w:szCs w:val="21"/>
                <w:lang w:val="en-US" w:bidi="ar-SA"/>
              </w:rPr>
              <w:t>业</w:t>
            </w:r>
          </w:p>
        </w:tc>
        <w:tc>
          <w:tcPr>
            <w:tcW w:w="983" w:type="dxa"/>
            <w:vAlign w:val="center"/>
          </w:tcPr>
          <w:p>
            <w:pPr>
              <w:pStyle w:val="41"/>
              <w:jc w:val="center"/>
              <w:rPr>
                <w:rFonts w:ascii="仿宋_GB2312" w:hAnsi="仿宋_GB2312" w:eastAsia="仿宋_GB2312" w:cs="仿宋_GB2312"/>
                <w:szCs w:val="21"/>
                <w:lang w:val="en-US"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 w:hRule="atLeast"/>
        </w:trPr>
        <w:tc>
          <w:tcPr>
            <w:tcW w:w="1932" w:type="dxa"/>
            <w:vAlign w:val="center"/>
          </w:tcPr>
          <w:p>
            <w:pPr>
              <w:pStyle w:val="41"/>
              <w:tabs>
                <w:tab w:val="left" w:pos="432"/>
              </w:tabs>
              <w:ind w:left="10"/>
              <w:jc w:val="center"/>
              <w:rPr>
                <w:rFonts w:ascii="仿宋_GB2312" w:hAnsi="仿宋_GB2312" w:eastAsia="仿宋_GB2312" w:cs="仿宋_GB2312"/>
                <w:szCs w:val="21"/>
              </w:rPr>
            </w:pPr>
            <w:r>
              <w:rPr>
                <w:rFonts w:hint="eastAsia" w:ascii="仿宋_GB2312" w:hAnsi="仿宋_GB2312" w:eastAsia="仿宋_GB2312" w:cs="仿宋_GB2312"/>
                <w:szCs w:val="21"/>
              </w:rPr>
              <w:t>职</w:t>
            </w:r>
            <w:r>
              <w:rPr>
                <w:rFonts w:hint="eastAsia" w:ascii="仿宋_GB2312" w:hAnsi="仿宋_GB2312" w:eastAsia="仿宋_GB2312" w:cs="仿宋_GB2312"/>
                <w:szCs w:val="21"/>
              </w:rPr>
              <w:tab/>
            </w:r>
            <w:r>
              <w:rPr>
                <w:rFonts w:hint="eastAsia" w:ascii="仿宋_GB2312" w:hAnsi="仿宋_GB2312" w:eastAsia="仿宋_GB2312" w:cs="仿宋_GB2312"/>
                <w:szCs w:val="21"/>
              </w:rPr>
              <w:t>称</w:t>
            </w:r>
          </w:p>
        </w:tc>
        <w:tc>
          <w:tcPr>
            <w:tcW w:w="1236" w:type="dxa"/>
            <w:vAlign w:val="center"/>
          </w:tcPr>
          <w:p>
            <w:pPr>
              <w:pStyle w:val="41"/>
              <w:ind w:right="370" w:rightChars="176"/>
              <w:jc w:val="center"/>
              <w:rPr>
                <w:rFonts w:ascii="仿宋_GB2312" w:hAnsi="仿宋_GB2312" w:eastAsia="仿宋_GB2312" w:cs="仿宋_GB2312"/>
                <w:szCs w:val="21"/>
              </w:rPr>
            </w:pPr>
          </w:p>
        </w:tc>
        <w:tc>
          <w:tcPr>
            <w:tcW w:w="899" w:type="dxa"/>
            <w:vAlign w:val="center"/>
          </w:tcPr>
          <w:p>
            <w:pPr>
              <w:pStyle w:val="41"/>
              <w:ind w:left="222" w:right="207"/>
              <w:jc w:val="center"/>
              <w:rPr>
                <w:rFonts w:ascii="仿宋_GB2312" w:hAnsi="仿宋_GB2312" w:eastAsia="仿宋_GB2312" w:cs="仿宋_GB2312"/>
                <w:szCs w:val="21"/>
              </w:rPr>
            </w:pPr>
            <w:r>
              <w:rPr>
                <w:rFonts w:hint="eastAsia" w:ascii="仿宋_GB2312" w:hAnsi="仿宋_GB2312" w:eastAsia="仿宋_GB2312" w:cs="仿宋_GB2312"/>
                <w:szCs w:val="21"/>
              </w:rPr>
              <w:t>职务</w:t>
            </w:r>
          </w:p>
        </w:tc>
        <w:tc>
          <w:tcPr>
            <w:tcW w:w="1619" w:type="dxa"/>
            <w:vAlign w:val="center"/>
          </w:tcPr>
          <w:p>
            <w:pPr>
              <w:pStyle w:val="41"/>
              <w:jc w:val="center"/>
              <w:rPr>
                <w:rFonts w:ascii="仿宋_GB2312" w:hAnsi="仿宋_GB2312" w:eastAsia="仿宋_GB2312" w:cs="仿宋_GB2312"/>
                <w:szCs w:val="21"/>
              </w:rPr>
            </w:pPr>
          </w:p>
        </w:tc>
        <w:tc>
          <w:tcPr>
            <w:tcW w:w="2048" w:type="dxa"/>
            <w:vAlign w:val="center"/>
          </w:tcPr>
          <w:p>
            <w:pPr>
              <w:pStyle w:val="41"/>
              <w:ind w:left="18"/>
              <w:jc w:val="center"/>
              <w:rPr>
                <w:rFonts w:ascii="仿宋_GB2312" w:hAnsi="仿宋_GB2312" w:eastAsia="仿宋_GB2312" w:cs="仿宋_GB2312"/>
                <w:szCs w:val="21"/>
              </w:rPr>
            </w:pPr>
            <w:r>
              <w:rPr>
                <w:rFonts w:hint="eastAsia" w:ascii="仿宋_GB2312" w:hAnsi="仿宋_GB2312" w:eastAsia="仿宋_GB2312" w:cs="仿宋_GB2312"/>
                <w:szCs w:val="21"/>
              </w:rPr>
              <w:t>从事专业年限</w:t>
            </w:r>
          </w:p>
        </w:tc>
        <w:tc>
          <w:tcPr>
            <w:tcW w:w="983" w:type="dxa"/>
            <w:vAlign w:val="center"/>
          </w:tcPr>
          <w:p>
            <w:pPr>
              <w:pStyle w:val="41"/>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1" w:hRule="atLeast"/>
        </w:trPr>
        <w:tc>
          <w:tcPr>
            <w:tcW w:w="1932" w:type="dxa"/>
            <w:vAlign w:val="center"/>
          </w:tcPr>
          <w:p>
            <w:pPr>
              <w:pStyle w:val="41"/>
              <w:spacing w:before="2"/>
              <w:jc w:val="center"/>
              <w:rPr>
                <w:rFonts w:ascii="仿宋_GB2312" w:hAnsi="仿宋_GB2312" w:eastAsia="仿宋_GB2312" w:cs="仿宋_GB2312"/>
                <w:b/>
                <w:szCs w:val="21"/>
              </w:rPr>
            </w:pPr>
          </w:p>
          <w:p>
            <w:pPr>
              <w:pStyle w:val="41"/>
              <w:ind w:left="13"/>
              <w:jc w:val="center"/>
              <w:rPr>
                <w:rFonts w:ascii="仿宋_GB2312" w:hAnsi="仿宋_GB2312" w:eastAsia="仿宋_GB2312" w:cs="仿宋_GB2312"/>
                <w:szCs w:val="21"/>
              </w:rPr>
            </w:pPr>
            <w:r>
              <w:rPr>
                <w:rFonts w:hint="eastAsia" w:ascii="仿宋_GB2312" w:hAnsi="仿宋_GB2312" w:eastAsia="仿宋_GB2312" w:cs="仿宋_GB2312"/>
                <w:szCs w:val="21"/>
              </w:rPr>
              <w:t>毕业学校</w:t>
            </w:r>
          </w:p>
        </w:tc>
        <w:tc>
          <w:tcPr>
            <w:tcW w:w="6785" w:type="dxa"/>
            <w:gridSpan w:val="5"/>
            <w:vAlign w:val="center"/>
          </w:tcPr>
          <w:p>
            <w:pPr>
              <w:pStyle w:val="41"/>
              <w:spacing w:before="2"/>
              <w:jc w:val="center"/>
              <w:rPr>
                <w:rFonts w:ascii="仿宋_GB2312" w:hAnsi="仿宋_GB2312" w:eastAsia="仿宋_GB2312" w:cs="仿宋_GB2312"/>
                <w:b/>
                <w:szCs w:val="21"/>
              </w:rPr>
            </w:pPr>
          </w:p>
          <w:p>
            <w:pPr>
              <w:pStyle w:val="41"/>
              <w:tabs>
                <w:tab w:val="left" w:pos="1997"/>
                <w:tab w:val="left" w:pos="3466"/>
                <w:tab w:val="left" w:pos="4515"/>
                <w:tab w:val="left" w:pos="6195"/>
              </w:tabs>
              <w:ind w:left="1575"/>
              <w:jc w:val="center"/>
              <w:rPr>
                <w:rFonts w:ascii="仿宋_GB2312" w:hAnsi="仿宋_GB2312" w:eastAsia="仿宋_GB2312" w:cs="仿宋_GB2312"/>
                <w:szCs w:val="21"/>
              </w:rPr>
            </w:pPr>
            <w:r>
              <w:rPr>
                <w:rFonts w:hint="eastAsia" w:ascii="仿宋_GB2312" w:hAnsi="仿宋_GB2312" w:eastAsia="仿宋_GB2312" w:cs="仿宋_GB2312"/>
                <w:szCs w:val="21"/>
              </w:rPr>
              <w:t>年</w:t>
            </w:r>
            <w:r>
              <w:rPr>
                <w:rFonts w:hint="eastAsia" w:ascii="仿宋_GB2312" w:hAnsi="仿宋_GB2312" w:eastAsia="仿宋_GB2312" w:cs="仿宋_GB2312"/>
                <w:szCs w:val="21"/>
              </w:rPr>
              <w:tab/>
            </w:r>
            <w:r>
              <w:rPr>
                <w:rFonts w:hint="eastAsia" w:ascii="仿宋_GB2312" w:hAnsi="仿宋_GB2312" w:eastAsia="仿宋_GB2312" w:cs="仿宋_GB2312"/>
                <w:spacing w:val="-3"/>
                <w:szCs w:val="21"/>
              </w:rPr>
              <w:t>月</w:t>
            </w:r>
            <w:r>
              <w:rPr>
                <w:rFonts w:hint="eastAsia" w:ascii="仿宋_GB2312" w:hAnsi="仿宋_GB2312" w:eastAsia="仿宋_GB2312" w:cs="仿宋_GB2312"/>
                <w:szCs w:val="21"/>
              </w:rPr>
              <w:t>毕</w:t>
            </w:r>
            <w:r>
              <w:rPr>
                <w:rFonts w:hint="eastAsia" w:ascii="仿宋_GB2312" w:hAnsi="仿宋_GB2312" w:eastAsia="仿宋_GB2312" w:cs="仿宋_GB2312"/>
                <w:spacing w:val="-3"/>
                <w:szCs w:val="21"/>
              </w:rPr>
              <w:t>业</w:t>
            </w:r>
            <w:r>
              <w:rPr>
                <w:rFonts w:hint="eastAsia" w:ascii="仿宋_GB2312" w:hAnsi="仿宋_GB2312" w:eastAsia="仿宋_GB2312" w:cs="仿宋_GB2312"/>
                <w:szCs w:val="21"/>
              </w:rPr>
              <w:t>于</w:t>
            </w:r>
            <w:r>
              <w:rPr>
                <w:rFonts w:hint="eastAsia" w:ascii="仿宋_GB2312" w:hAnsi="仿宋_GB2312" w:eastAsia="仿宋_GB2312" w:cs="仿宋_GB2312"/>
                <w:szCs w:val="21"/>
              </w:rPr>
              <w:tab/>
            </w:r>
            <w:r>
              <w:rPr>
                <w:rFonts w:hint="eastAsia" w:ascii="仿宋_GB2312" w:hAnsi="仿宋_GB2312" w:eastAsia="仿宋_GB2312" w:cs="仿宋_GB2312"/>
                <w:szCs w:val="21"/>
              </w:rPr>
              <w:t>学校</w:t>
            </w:r>
            <w:r>
              <w:rPr>
                <w:rFonts w:hint="eastAsia" w:ascii="仿宋_GB2312" w:hAnsi="仿宋_GB2312" w:eastAsia="仿宋_GB2312" w:cs="仿宋_GB2312"/>
                <w:szCs w:val="21"/>
              </w:rPr>
              <w:tab/>
            </w:r>
            <w:r>
              <w:rPr>
                <w:rFonts w:hint="eastAsia" w:ascii="仿宋_GB2312" w:hAnsi="仿宋_GB2312" w:eastAsia="仿宋_GB2312" w:cs="仿宋_GB2312"/>
                <w:szCs w:val="21"/>
              </w:rPr>
              <w:t>系</w:t>
            </w:r>
            <w:r>
              <w:rPr>
                <w:rFonts w:hint="eastAsia" w:ascii="仿宋_GB2312" w:hAnsi="仿宋_GB2312" w:eastAsia="仿宋_GB2312" w:cs="仿宋_GB2312"/>
                <w:spacing w:val="-3"/>
                <w:szCs w:val="21"/>
              </w:rPr>
              <w:t>（</w:t>
            </w:r>
            <w:r>
              <w:rPr>
                <w:rFonts w:hint="eastAsia" w:ascii="仿宋_GB2312" w:hAnsi="仿宋_GB2312" w:eastAsia="仿宋_GB2312" w:cs="仿宋_GB2312"/>
                <w:szCs w:val="21"/>
              </w:rPr>
              <w:t>科</w:t>
            </w:r>
            <w:r>
              <w:rPr>
                <w:rFonts w:hint="eastAsia" w:ascii="仿宋_GB2312" w:hAnsi="仿宋_GB2312" w:eastAsia="仿宋_GB2312" w:cs="仿宋_GB2312"/>
                <w:spacing w:val="-106"/>
                <w:szCs w:val="21"/>
              </w:rPr>
              <w:t>）</w:t>
            </w:r>
            <w:r>
              <w:rPr>
                <w:rFonts w:hint="eastAsia" w:ascii="仿宋_GB2312" w:hAnsi="仿宋_GB2312" w:eastAsia="仿宋_GB2312" w:cs="仿宋_GB2312"/>
                <w:spacing w:val="-3"/>
                <w:szCs w:val="21"/>
              </w:rPr>
              <w:t>，</w:t>
            </w:r>
            <w:r>
              <w:rPr>
                <w:rFonts w:hint="eastAsia" w:ascii="仿宋_GB2312" w:hAnsi="仿宋_GB2312" w:eastAsia="仿宋_GB2312" w:cs="仿宋_GB2312"/>
                <w:szCs w:val="21"/>
              </w:rPr>
              <w:t>学制</w:t>
            </w:r>
            <w:r>
              <w:rPr>
                <w:rFonts w:hint="eastAsia" w:ascii="仿宋_GB2312" w:hAnsi="仿宋_GB2312" w:eastAsia="仿宋_GB2312" w:cs="仿宋_GB2312"/>
                <w:szCs w:val="21"/>
              </w:rPr>
              <w:tab/>
            </w:r>
            <w:r>
              <w:rPr>
                <w:rFonts w:hint="eastAsia" w:ascii="仿宋_GB2312" w:hAnsi="仿宋_GB2312" w:eastAsia="仿宋_GB2312" w:cs="仿宋_GB2312"/>
                <w:szCs w:val="21"/>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37" w:hRule="atLeast"/>
        </w:trPr>
        <w:tc>
          <w:tcPr>
            <w:tcW w:w="1932" w:type="dxa"/>
            <w:vAlign w:val="center"/>
          </w:tcPr>
          <w:p>
            <w:pPr>
              <w:pStyle w:val="41"/>
              <w:jc w:val="center"/>
              <w:rPr>
                <w:rFonts w:ascii="仿宋_GB2312" w:hAnsi="仿宋_GB2312" w:eastAsia="仿宋_GB2312" w:cs="仿宋_GB2312"/>
                <w:b/>
                <w:szCs w:val="21"/>
              </w:rPr>
            </w:pPr>
          </w:p>
          <w:p>
            <w:pPr>
              <w:pStyle w:val="41"/>
              <w:spacing w:before="179"/>
              <w:ind w:left="13"/>
              <w:jc w:val="center"/>
              <w:rPr>
                <w:rFonts w:ascii="仿宋_GB2312" w:hAnsi="仿宋_GB2312" w:eastAsia="仿宋_GB2312" w:cs="仿宋_GB2312"/>
                <w:szCs w:val="21"/>
              </w:rPr>
            </w:pPr>
            <w:r>
              <w:rPr>
                <w:rFonts w:hint="eastAsia" w:ascii="仿宋_GB2312" w:hAnsi="仿宋_GB2312" w:eastAsia="仿宋_GB2312" w:cs="仿宋_GB2312"/>
                <w:szCs w:val="21"/>
              </w:rPr>
              <w:t>身份证号</w:t>
            </w:r>
          </w:p>
        </w:tc>
        <w:tc>
          <w:tcPr>
            <w:tcW w:w="2135" w:type="dxa"/>
            <w:gridSpan w:val="2"/>
            <w:vAlign w:val="center"/>
          </w:tcPr>
          <w:p>
            <w:pPr>
              <w:pStyle w:val="41"/>
              <w:jc w:val="center"/>
              <w:rPr>
                <w:rFonts w:ascii="仿宋_GB2312" w:hAnsi="仿宋_GB2312" w:eastAsia="仿宋_GB2312" w:cs="仿宋_GB2312"/>
                <w:szCs w:val="21"/>
              </w:rPr>
            </w:pPr>
          </w:p>
        </w:tc>
        <w:tc>
          <w:tcPr>
            <w:tcW w:w="1619" w:type="dxa"/>
            <w:vAlign w:val="center"/>
          </w:tcPr>
          <w:p>
            <w:pPr>
              <w:pStyle w:val="41"/>
              <w:spacing w:before="11" w:line="460" w:lineRule="atLeast"/>
              <w:ind w:left="705" w:right="162" w:hanging="524"/>
              <w:jc w:val="center"/>
              <w:rPr>
                <w:rFonts w:ascii="仿宋_GB2312" w:hAnsi="仿宋_GB2312" w:eastAsia="仿宋_GB2312" w:cs="仿宋_GB2312"/>
                <w:szCs w:val="21"/>
              </w:rPr>
            </w:pPr>
            <w:r>
              <w:rPr>
                <w:rFonts w:hint="eastAsia" w:ascii="仿宋_GB2312" w:hAnsi="仿宋_GB2312" w:eastAsia="仿宋_GB2312" w:cs="仿宋_GB2312"/>
                <w:szCs w:val="21"/>
              </w:rPr>
              <w:t>拟在本合同任职</w:t>
            </w:r>
          </w:p>
        </w:tc>
        <w:tc>
          <w:tcPr>
            <w:tcW w:w="3031" w:type="dxa"/>
            <w:gridSpan w:val="2"/>
            <w:vAlign w:val="center"/>
          </w:tcPr>
          <w:p>
            <w:pPr>
              <w:pStyle w:val="41"/>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0" w:hRule="atLeast"/>
        </w:trPr>
        <w:tc>
          <w:tcPr>
            <w:tcW w:w="1932" w:type="dxa"/>
            <w:vAlign w:val="center"/>
          </w:tcPr>
          <w:p>
            <w:pPr>
              <w:pStyle w:val="41"/>
              <w:spacing w:before="101" w:line="417" w:lineRule="auto"/>
              <w:ind w:left="107" w:right="-15"/>
              <w:jc w:val="center"/>
              <w:rPr>
                <w:rFonts w:ascii="仿宋_GB2312" w:hAnsi="仿宋_GB2312" w:eastAsia="仿宋_GB2312" w:cs="仿宋_GB2312"/>
                <w:szCs w:val="21"/>
              </w:rPr>
            </w:pPr>
            <w:r>
              <w:rPr>
                <w:rFonts w:hint="eastAsia" w:ascii="仿宋_GB2312" w:hAnsi="仿宋_GB2312" w:eastAsia="仿宋_GB2312" w:cs="仿宋_GB2312"/>
                <w:spacing w:val="3"/>
                <w:szCs w:val="21"/>
              </w:rPr>
              <w:t>技术职称资格、资格证书的资格情</w:t>
            </w:r>
            <w:r>
              <w:rPr>
                <w:rFonts w:hint="eastAsia" w:ascii="仿宋_GB2312" w:hAnsi="仿宋_GB2312" w:eastAsia="仿宋_GB2312" w:cs="仿宋_GB2312"/>
                <w:spacing w:val="-63"/>
                <w:szCs w:val="21"/>
              </w:rPr>
              <w:t>况</w:t>
            </w:r>
            <w:r>
              <w:rPr>
                <w:rFonts w:hint="eastAsia" w:ascii="仿宋_GB2312" w:hAnsi="仿宋_GB2312" w:eastAsia="仿宋_GB2312" w:cs="仿宋_GB2312"/>
                <w:spacing w:val="-3"/>
                <w:szCs w:val="21"/>
              </w:rPr>
              <w:t>（需附复印件</w:t>
            </w:r>
            <w:r>
              <w:rPr>
                <w:rFonts w:hint="eastAsia" w:ascii="仿宋_GB2312" w:hAnsi="仿宋_GB2312" w:eastAsia="仿宋_GB2312" w:cs="仿宋_GB2312"/>
                <w:spacing w:val="-12"/>
                <w:szCs w:val="21"/>
              </w:rPr>
              <w:t>）</w:t>
            </w:r>
          </w:p>
        </w:tc>
        <w:tc>
          <w:tcPr>
            <w:tcW w:w="6785" w:type="dxa"/>
            <w:gridSpan w:val="5"/>
            <w:vAlign w:val="center"/>
          </w:tcPr>
          <w:p>
            <w:pPr>
              <w:pStyle w:val="41"/>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1" w:hRule="atLeast"/>
        </w:trPr>
        <w:tc>
          <w:tcPr>
            <w:tcW w:w="1932" w:type="dxa"/>
            <w:vAlign w:val="center"/>
          </w:tcPr>
          <w:p>
            <w:pPr>
              <w:pStyle w:val="41"/>
              <w:spacing w:before="1"/>
              <w:rPr>
                <w:rFonts w:ascii="仿宋_GB2312" w:hAnsi="仿宋_GB2312" w:eastAsia="仿宋_GB2312" w:cs="仿宋_GB2312"/>
                <w:szCs w:val="21"/>
              </w:rPr>
            </w:pPr>
            <w:r>
              <w:rPr>
                <w:rFonts w:hint="eastAsia" w:ascii="仿宋_GB2312" w:hAnsi="仿宋_GB2312" w:eastAsia="仿宋_GB2312" w:cs="仿宋_GB2312"/>
                <w:szCs w:val="21"/>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rPr>
              <w:t>时间（年月）</w:t>
            </w:r>
          </w:p>
        </w:tc>
        <w:tc>
          <w:tcPr>
            <w:tcW w:w="6785" w:type="dxa"/>
            <w:gridSpan w:val="5"/>
            <w:vAlign w:val="center"/>
          </w:tcPr>
          <w:p>
            <w:pPr>
              <w:pStyle w:val="41"/>
              <w:spacing w:before="1"/>
              <w:ind w:right="2378"/>
              <w:jc w:val="center"/>
              <w:rPr>
                <w:rFonts w:ascii="仿宋_GB2312" w:hAnsi="仿宋_GB2312" w:eastAsia="仿宋_GB2312" w:cs="仿宋_GB2312"/>
                <w:szCs w:val="21"/>
              </w:rPr>
            </w:pPr>
            <w:r>
              <w:rPr>
                <w:rFonts w:hint="eastAsia" w:ascii="仿宋_GB2312" w:hAnsi="仿宋_GB2312" w:eastAsia="仿宋_GB2312" w:cs="仿宋_GB2312"/>
                <w:szCs w:val="21"/>
              </w:rPr>
              <w:t xml:space="preserve"> </w:t>
            </w:r>
            <w:r>
              <w:rPr>
                <w:rFonts w:ascii="仿宋_GB2312" w:hAnsi="仿宋_GB2312" w:eastAsia="仿宋_GB2312" w:cs="仿宋_GB2312"/>
                <w:szCs w:val="21"/>
              </w:rPr>
              <w:t xml:space="preserve">               </w:t>
            </w:r>
            <w:r>
              <w:rPr>
                <w:rFonts w:hint="eastAsia" w:ascii="仿宋_GB2312" w:hAnsi="仿宋_GB2312" w:eastAsia="仿宋_GB2312" w:cs="仿宋_GB2312"/>
                <w:szCs w:val="21"/>
              </w:rPr>
              <w:t>工作简历和主要咨询业绩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trPr>
        <w:tc>
          <w:tcPr>
            <w:tcW w:w="1932" w:type="dxa"/>
            <w:vAlign w:val="center"/>
          </w:tcPr>
          <w:p>
            <w:pPr>
              <w:pStyle w:val="41"/>
              <w:jc w:val="center"/>
              <w:rPr>
                <w:rFonts w:ascii="仿宋_GB2312" w:hAnsi="仿宋_GB2312" w:eastAsia="仿宋_GB2312" w:cs="仿宋_GB2312"/>
                <w:szCs w:val="21"/>
              </w:rPr>
            </w:pPr>
          </w:p>
        </w:tc>
        <w:tc>
          <w:tcPr>
            <w:tcW w:w="6785" w:type="dxa"/>
            <w:gridSpan w:val="5"/>
            <w:vAlign w:val="center"/>
          </w:tcPr>
          <w:p>
            <w:pPr>
              <w:pStyle w:val="41"/>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1" w:hRule="atLeast"/>
        </w:trPr>
        <w:tc>
          <w:tcPr>
            <w:tcW w:w="1932" w:type="dxa"/>
            <w:vAlign w:val="center"/>
          </w:tcPr>
          <w:p>
            <w:pPr>
              <w:pStyle w:val="41"/>
              <w:jc w:val="center"/>
              <w:rPr>
                <w:rFonts w:ascii="仿宋_GB2312" w:hAnsi="仿宋_GB2312" w:eastAsia="仿宋_GB2312" w:cs="仿宋_GB2312"/>
                <w:szCs w:val="21"/>
              </w:rPr>
            </w:pPr>
          </w:p>
        </w:tc>
        <w:tc>
          <w:tcPr>
            <w:tcW w:w="6785" w:type="dxa"/>
            <w:gridSpan w:val="5"/>
            <w:vAlign w:val="center"/>
          </w:tcPr>
          <w:p>
            <w:pPr>
              <w:pStyle w:val="41"/>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8" w:hRule="atLeast"/>
        </w:trPr>
        <w:tc>
          <w:tcPr>
            <w:tcW w:w="1932" w:type="dxa"/>
            <w:vAlign w:val="center"/>
          </w:tcPr>
          <w:p>
            <w:pPr>
              <w:pStyle w:val="41"/>
              <w:jc w:val="center"/>
              <w:rPr>
                <w:rFonts w:ascii="仿宋_GB2312" w:hAnsi="仿宋_GB2312" w:eastAsia="仿宋_GB2312" w:cs="仿宋_GB2312"/>
                <w:szCs w:val="21"/>
              </w:rPr>
            </w:pPr>
          </w:p>
        </w:tc>
        <w:tc>
          <w:tcPr>
            <w:tcW w:w="6785" w:type="dxa"/>
            <w:gridSpan w:val="5"/>
            <w:vAlign w:val="center"/>
          </w:tcPr>
          <w:p>
            <w:pPr>
              <w:pStyle w:val="41"/>
              <w:jc w:val="center"/>
              <w:rPr>
                <w:rFonts w:ascii="仿宋_GB2312" w:hAnsi="仿宋_GB2312" w:eastAsia="仿宋_GB2312" w:cs="仿宋_GB2312"/>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81" w:hRule="atLeast"/>
        </w:trPr>
        <w:tc>
          <w:tcPr>
            <w:tcW w:w="1932" w:type="dxa"/>
            <w:vAlign w:val="center"/>
          </w:tcPr>
          <w:p>
            <w:pPr>
              <w:pStyle w:val="41"/>
              <w:jc w:val="center"/>
              <w:rPr>
                <w:rFonts w:ascii="仿宋_GB2312" w:hAnsi="仿宋_GB2312" w:eastAsia="仿宋_GB2312" w:cs="仿宋_GB2312"/>
                <w:szCs w:val="21"/>
              </w:rPr>
            </w:pPr>
          </w:p>
        </w:tc>
        <w:tc>
          <w:tcPr>
            <w:tcW w:w="6785" w:type="dxa"/>
            <w:gridSpan w:val="5"/>
            <w:vAlign w:val="center"/>
          </w:tcPr>
          <w:p>
            <w:pPr>
              <w:pStyle w:val="41"/>
              <w:jc w:val="center"/>
              <w:rPr>
                <w:rFonts w:ascii="仿宋_GB2312" w:hAnsi="仿宋_GB2312" w:eastAsia="仿宋_GB2312" w:cs="仿宋_GB2312"/>
                <w:szCs w:val="21"/>
              </w:rPr>
            </w:pPr>
          </w:p>
        </w:tc>
      </w:tr>
    </w:tbl>
    <w:p>
      <w:pPr>
        <w:numPr>
          <w:ilvl w:val="255"/>
          <w:numId w:val="0"/>
        </w:numPr>
        <w:ind w:left="210" w:leftChars="100"/>
        <w:rPr>
          <w:rFonts w:ascii="仿宋_GB2312" w:hAnsi="仿宋_GB2312" w:eastAsia="仿宋_GB2312" w:cs="仿宋_GB2312"/>
          <w:szCs w:val="21"/>
        </w:rPr>
      </w:pPr>
      <w:r>
        <w:rPr>
          <w:rFonts w:hint="eastAsia" w:ascii="仿宋_GB2312" w:hAnsi="仿宋_GB2312" w:eastAsia="仿宋_GB2312" w:cs="仿宋_GB2312"/>
          <w:szCs w:val="21"/>
        </w:rPr>
        <w:t>注：附人员身份证、专家委员聘书</w:t>
      </w:r>
      <w:r>
        <w:rPr>
          <w:rFonts w:hint="eastAsia" w:ascii="仿宋_GB2312" w:hAnsi="仿宋_GB2312" w:eastAsia="仿宋_GB2312" w:cs="仿宋_GB2312"/>
        </w:rPr>
        <w:t>、</w:t>
      </w:r>
      <w:r>
        <w:rPr>
          <w:rFonts w:hint="eastAsia" w:ascii="仿宋_GB2312" w:hAnsi="仿宋_GB2312" w:eastAsia="仿宋_GB2312" w:cs="仿宋_GB2312"/>
          <w:szCs w:val="21"/>
        </w:rPr>
        <w:t>职称证书、国家（行业）标准封面及其署名页等复印件并加盖单位公章，原件备查。</w:t>
      </w:r>
    </w:p>
    <w:p>
      <w:pPr>
        <w:pStyle w:val="12"/>
        <w:spacing w:before="102" w:line="417" w:lineRule="auto"/>
        <w:ind w:left="292" w:right="526" w:firstLine="3990" w:firstLineChars="1900"/>
        <w:rPr>
          <w:rFonts w:ascii="仿宋_GB2312" w:hAnsi="仿宋_GB2312" w:eastAsia="仿宋_GB2312" w:cs="仿宋_GB2312"/>
          <w:szCs w:val="21"/>
        </w:rPr>
      </w:pPr>
      <w:r>
        <w:rPr>
          <w:rFonts w:hint="eastAsia" w:ascii="仿宋_GB2312" w:hAnsi="仿宋_GB2312" w:eastAsia="仿宋_GB2312" w:cs="仿宋_GB2312"/>
          <w:szCs w:val="21"/>
        </w:rPr>
        <w:t>比选申请人：（全称、盖单位章）</w:t>
      </w:r>
    </w:p>
    <w:p>
      <w:pPr>
        <w:pStyle w:val="12"/>
        <w:spacing w:before="102" w:line="417" w:lineRule="auto"/>
        <w:ind w:left="292" w:right="526" w:firstLine="3990" w:firstLineChars="1900"/>
        <w:rPr>
          <w:rFonts w:ascii="仿宋_GB2312" w:hAnsi="仿宋_GB2312" w:eastAsia="仿宋_GB2312" w:cs="仿宋_GB2312"/>
          <w:szCs w:val="21"/>
        </w:rPr>
      </w:pPr>
      <w:r>
        <w:rPr>
          <w:rFonts w:hint="eastAsia" w:ascii="仿宋_GB2312" w:hAnsi="仿宋_GB2312" w:eastAsia="仿宋_GB2312" w:cs="仿宋_GB2312"/>
          <w:szCs w:val="21"/>
        </w:rPr>
        <w:t>法定代表人或授权代理人： （签字）</w:t>
      </w:r>
    </w:p>
    <w:p>
      <w:pPr>
        <w:pStyle w:val="12"/>
        <w:spacing w:before="102" w:line="417" w:lineRule="auto"/>
        <w:ind w:left="292" w:right="526" w:firstLine="3990" w:firstLineChars="1900"/>
        <w:rPr>
          <w:rFonts w:ascii="仿宋_GB2312" w:hAnsi="仿宋_GB2312" w:eastAsia="仿宋_GB2312" w:cs="仿宋_GB2312"/>
          <w:szCs w:val="21"/>
        </w:rPr>
      </w:pPr>
      <w:r>
        <w:rPr>
          <w:rFonts w:hint="eastAsia" w:ascii="仿宋_GB2312" w:hAnsi="仿宋_GB2312" w:eastAsia="仿宋_GB2312" w:cs="仿宋_GB2312"/>
          <w:szCs w:val="21"/>
        </w:rPr>
        <w:t>日 期:</w:t>
      </w:r>
      <w:r>
        <w:rPr>
          <w:rFonts w:hint="eastAsia" w:ascii="仿宋_GB2312" w:hAnsi="仿宋_GB2312" w:eastAsia="仿宋_GB2312" w:cs="仿宋_GB2312"/>
          <w:szCs w:val="21"/>
        </w:rPr>
        <w:tab/>
      </w:r>
      <w:r>
        <w:rPr>
          <w:rFonts w:hint="eastAsia" w:ascii="仿宋_GB2312" w:hAnsi="仿宋_GB2312" w:eastAsia="仿宋_GB2312" w:cs="仿宋_GB2312"/>
          <w:szCs w:val="21"/>
        </w:rPr>
        <w:t>年</w:t>
      </w:r>
      <w:r>
        <w:rPr>
          <w:rFonts w:hint="eastAsia" w:ascii="仿宋_GB2312" w:hAnsi="仿宋_GB2312" w:eastAsia="仿宋_GB2312" w:cs="仿宋_GB2312"/>
          <w:szCs w:val="21"/>
        </w:rPr>
        <w:tab/>
      </w:r>
      <w:r>
        <w:rPr>
          <w:rFonts w:hint="eastAsia" w:ascii="仿宋_GB2312" w:hAnsi="仿宋_GB2312" w:eastAsia="仿宋_GB2312" w:cs="仿宋_GB2312"/>
          <w:szCs w:val="21"/>
        </w:rPr>
        <w:t>月</w:t>
      </w:r>
      <w:r>
        <w:rPr>
          <w:rFonts w:hint="eastAsia" w:ascii="仿宋_GB2312" w:hAnsi="仿宋_GB2312" w:eastAsia="仿宋_GB2312" w:cs="仿宋_GB2312"/>
          <w:szCs w:val="21"/>
        </w:rPr>
        <w:tab/>
      </w:r>
      <w:r>
        <w:rPr>
          <w:rFonts w:hint="eastAsia" w:ascii="仿宋_GB2312" w:hAnsi="仿宋_GB2312" w:eastAsia="仿宋_GB2312" w:cs="仿宋_GB2312"/>
          <w:szCs w:val="21"/>
        </w:rPr>
        <w:t>日</w:t>
      </w:r>
    </w:p>
    <w:p>
      <w:pPr>
        <w:numPr>
          <w:ilvl w:val="255"/>
          <w:numId w:val="0"/>
        </w:numPr>
        <w:spacing w:line="600" w:lineRule="exact"/>
        <w:rPr>
          <w:rFonts w:ascii="仿宋_GB2312" w:hAnsi="仿宋_GB2312" w:eastAsia="仿宋_GB2312" w:cs="仿宋_GB2312"/>
          <w:sz w:val="28"/>
          <w:szCs w:val="24"/>
        </w:rPr>
      </w:pPr>
    </w:p>
    <w:p>
      <w:pPr>
        <w:spacing w:line="364" w:lineRule="auto"/>
        <w:ind w:right="50"/>
        <w:rPr>
          <w:rFonts w:ascii="仿宋_GB2312" w:hAnsi="仿宋_GB2312" w:eastAsia="仿宋_GB2312" w:cs="仿宋_GB2312"/>
          <w:sz w:val="28"/>
          <w:szCs w:val="24"/>
        </w:rPr>
      </w:pPr>
    </w:p>
    <w:p>
      <w:pPr>
        <w:spacing w:line="364" w:lineRule="auto"/>
        <w:ind w:right="50"/>
        <w:rPr>
          <w:rFonts w:ascii="仿宋_GB2312" w:hAnsi="仿宋_GB2312" w:eastAsia="仿宋_GB2312" w:cs="仿宋_GB2312"/>
          <w:sz w:val="28"/>
          <w:szCs w:val="24"/>
        </w:rPr>
      </w:pPr>
      <w:r>
        <w:rPr>
          <w:rFonts w:hint="eastAsia" w:ascii="仿宋_GB2312" w:hAnsi="仿宋_GB2312" w:eastAsia="仿宋_GB2312" w:cs="仿宋_GB2312"/>
          <w:sz w:val="28"/>
          <w:szCs w:val="24"/>
        </w:rPr>
        <w:t>（二）、其他项目成员信息</w:t>
      </w: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118"/>
        <w:gridCol w:w="1350"/>
        <w:gridCol w:w="2237"/>
        <w:gridCol w:w="2413"/>
        <w:gridCol w:w="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pPr>
              <w:numPr>
                <w:ilvl w:val="255"/>
                <w:numId w:val="0"/>
              </w:numPr>
              <w:spacing w:line="600" w:lineRule="exact"/>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姓名</w:t>
            </w:r>
          </w:p>
        </w:tc>
        <w:tc>
          <w:tcPr>
            <w:tcW w:w="1118" w:type="dxa"/>
          </w:tcPr>
          <w:p>
            <w:pPr>
              <w:numPr>
                <w:ilvl w:val="255"/>
                <w:numId w:val="0"/>
              </w:numPr>
              <w:spacing w:line="600" w:lineRule="exact"/>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专业</w:t>
            </w:r>
          </w:p>
        </w:tc>
        <w:tc>
          <w:tcPr>
            <w:tcW w:w="1350" w:type="dxa"/>
          </w:tcPr>
          <w:p>
            <w:pPr>
              <w:numPr>
                <w:ilvl w:val="255"/>
                <w:numId w:val="0"/>
              </w:numPr>
              <w:spacing w:line="600" w:lineRule="exact"/>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学历</w:t>
            </w:r>
          </w:p>
        </w:tc>
        <w:tc>
          <w:tcPr>
            <w:tcW w:w="2237" w:type="dxa"/>
          </w:tcPr>
          <w:p>
            <w:pPr>
              <w:numPr>
                <w:ilvl w:val="255"/>
                <w:numId w:val="0"/>
              </w:numPr>
              <w:spacing w:line="600" w:lineRule="exact"/>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拟在本合同任职</w:t>
            </w:r>
          </w:p>
        </w:tc>
        <w:tc>
          <w:tcPr>
            <w:tcW w:w="2413" w:type="dxa"/>
          </w:tcPr>
          <w:p>
            <w:pPr>
              <w:numPr>
                <w:ilvl w:val="255"/>
                <w:numId w:val="0"/>
              </w:numPr>
              <w:spacing w:line="600" w:lineRule="exact"/>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工作经历简介</w:t>
            </w:r>
          </w:p>
        </w:tc>
        <w:tc>
          <w:tcPr>
            <w:tcW w:w="983" w:type="dxa"/>
          </w:tcPr>
          <w:p>
            <w:pPr>
              <w:numPr>
                <w:ilvl w:val="255"/>
                <w:numId w:val="0"/>
              </w:numPr>
              <w:spacing w:line="600" w:lineRule="exact"/>
              <w:jc w:val="center"/>
              <w:rPr>
                <w:rFonts w:ascii="仿宋_GB2312" w:hAnsi="仿宋_GB2312" w:eastAsia="仿宋_GB2312" w:cs="仿宋_GB2312"/>
                <w:sz w:val="28"/>
                <w:szCs w:val="24"/>
              </w:rPr>
            </w:pPr>
            <w:r>
              <w:rPr>
                <w:rFonts w:hint="eastAsia" w:ascii="仿宋_GB2312" w:hAnsi="仿宋_GB2312" w:eastAsia="仿宋_GB2312" w:cs="仿宋_GB2312"/>
                <w:sz w:val="28"/>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pPr>
              <w:numPr>
                <w:ilvl w:val="255"/>
                <w:numId w:val="0"/>
              </w:numPr>
              <w:spacing w:line="600" w:lineRule="exact"/>
              <w:rPr>
                <w:rFonts w:ascii="仿宋_GB2312" w:hAnsi="仿宋_GB2312" w:eastAsia="仿宋_GB2312" w:cs="仿宋_GB2312"/>
                <w:sz w:val="28"/>
                <w:szCs w:val="24"/>
              </w:rPr>
            </w:pPr>
          </w:p>
        </w:tc>
        <w:tc>
          <w:tcPr>
            <w:tcW w:w="1118" w:type="dxa"/>
          </w:tcPr>
          <w:p>
            <w:pPr>
              <w:numPr>
                <w:ilvl w:val="255"/>
                <w:numId w:val="0"/>
              </w:numPr>
              <w:spacing w:line="600" w:lineRule="exact"/>
              <w:rPr>
                <w:rFonts w:ascii="仿宋_GB2312" w:hAnsi="仿宋_GB2312" w:eastAsia="仿宋_GB2312" w:cs="仿宋_GB2312"/>
                <w:sz w:val="28"/>
                <w:szCs w:val="24"/>
              </w:rPr>
            </w:pPr>
          </w:p>
        </w:tc>
        <w:tc>
          <w:tcPr>
            <w:tcW w:w="1350" w:type="dxa"/>
          </w:tcPr>
          <w:p>
            <w:pPr>
              <w:numPr>
                <w:ilvl w:val="255"/>
                <w:numId w:val="0"/>
              </w:numPr>
              <w:spacing w:line="600" w:lineRule="exact"/>
              <w:rPr>
                <w:rFonts w:ascii="仿宋_GB2312" w:hAnsi="仿宋_GB2312" w:eastAsia="仿宋_GB2312" w:cs="仿宋_GB2312"/>
                <w:sz w:val="28"/>
                <w:szCs w:val="24"/>
              </w:rPr>
            </w:pPr>
          </w:p>
        </w:tc>
        <w:tc>
          <w:tcPr>
            <w:tcW w:w="2237" w:type="dxa"/>
          </w:tcPr>
          <w:p>
            <w:pPr>
              <w:numPr>
                <w:ilvl w:val="255"/>
                <w:numId w:val="0"/>
              </w:numPr>
              <w:spacing w:line="600" w:lineRule="exact"/>
              <w:rPr>
                <w:rFonts w:ascii="仿宋_GB2312" w:hAnsi="仿宋_GB2312" w:eastAsia="仿宋_GB2312" w:cs="仿宋_GB2312"/>
                <w:sz w:val="28"/>
                <w:szCs w:val="24"/>
              </w:rPr>
            </w:pPr>
          </w:p>
        </w:tc>
        <w:tc>
          <w:tcPr>
            <w:tcW w:w="2413" w:type="dxa"/>
          </w:tcPr>
          <w:p>
            <w:pPr>
              <w:numPr>
                <w:ilvl w:val="255"/>
                <w:numId w:val="0"/>
              </w:numPr>
              <w:spacing w:line="600" w:lineRule="exact"/>
              <w:rPr>
                <w:rFonts w:ascii="仿宋_GB2312" w:hAnsi="仿宋_GB2312" w:eastAsia="仿宋_GB2312" w:cs="仿宋_GB2312"/>
                <w:sz w:val="28"/>
                <w:szCs w:val="24"/>
              </w:rPr>
            </w:pPr>
          </w:p>
        </w:tc>
        <w:tc>
          <w:tcPr>
            <w:tcW w:w="983" w:type="dxa"/>
          </w:tcPr>
          <w:p>
            <w:pPr>
              <w:numPr>
                <w:ilvl w:val="255"/>
                <w:numId w:val="0"/>
              </w:numPr>
              <w:spacing w:line="600" w:lineRule="exact"/>
              <w:rPr>
                <w:rFonts w:ascii="仿宋_GB2312" w:hAnsi="仿宋_GB2312" w:eastAsia="仿宋_GB2312" w:cs="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pPr>
              <w:numPr>
                <w:ilvl w:val="255"/>
                <w:numId w:val="0"/>
              </w:numPr>
              <w:spacing w:line="600" w:lineRule="exact"/>
              <w:rPr>
                <w:rFonts w:ascii="仿宋_GB2312" w:hAnsi="仿宋_GB2312" w:eastAsia="仿宋_GB2312" w:cs="仿宋_GB2312"/>
                <w:sz w:val="28"/>
                <w:szCs w:val="24"/>
              </w:rPr>
            </w:pPr>
          </w:p>
        </w:tc>
        <w:tc>
          <w:tcPr>
            <w:tcW w:w="1118" w:type="dxa"/>
          </w:tcPr>
          <w:p>
            <w:pPr>
              <w:numPr>
                <w:ilvl w:val="255"/>
                <w:numId w:val="0"/>
              </w:numPr>
              <w:spacing w:line="600" w:lineRule="exact"/>
              <w:rPr>
                <w:rFonts w:ascii="仿宋_GB2312" w:hAnsi="仿宋_GB2312" w:eastAsia="仿宋_GB2312" w:cs="仿宋_GB2312"/>
                <w:sz w:val="28"/>
                <w:szCs w:val="24"/>
              </w:rPr>
            </w:pPr>
          </w:p>
        </w:tc>
        <w:tc>
          <w:tcPr>
            <w:tcW w:w="1350" w:type="dxa"/>
          </w:tcPr>
          <w:p>
            <w:pPr>
              <w:numPr>
                <w:ilvl w:val="255"/>
                <w:numId w:val="0"/>
              </w:numPr>
              <w:spacing w:line="600" w:lineRule="exact"/>
              <w:rPr>
                <w:rFonts w:ascii="仿宋_GB2312" w:hAnsi="仿宋_GB2312" w:eastAsia="仿宋_GB2312" w:cs="仿宋_GB2312"/>
                <w:sz w:val="28"/>
                <w:szCs w:val="24"/>
              </w:rPr>
            </w:pPr>
          </w:p>
        </w:tc>
        <w:tc>
          <w:tcPr>
            <w:tcW w:w="2237" w:type="dxa"/>
          </w:tcPr>
          <w:p>
            <w:pPr>
              <w:numPr>
                <w:ilvl w:val="255"/>
                <w:numId w:val="0"/>
              </w:numPr>
              <w:spacing w:line="600" w:lineRule="exact"/>
              <w:rPr>
                <w:rFonts w:ascii="仿宋_GB2312" w:hAnsi="仿宋_GB2312" w:eastAsia="仿宋_GB2312" w:cs="仿宋_GB2312"/>
                <w:sz w:val="28"/>
                <w:szCs w:val="24"/>
              </w:rPr>
            </w:pPr>
          </w:p>
        </w:tc>
        <w:tc>
          <w:tcPr>
            <w:tcW w:w="2413" w:type="dxa"/>
          </w:tcPr>
          <w:p>
            <w:pPr>
              <w:numPr>
                <w:ilvl w:val="255"/>
                <w:numId w:val="0"/>
              </w:numPr>
              <w:spacing w:line="600" w:lineRule="exact"/>
              <w:rPr>
                <w:rFonts w:ascii="仿宋_GB2312" w:hAnsi="仿宋_GB2312" w:eastAsia="仿宋_GB2312" w:cs="仿宋_GB2312"/>
                <w:sz w:val="28"/>
                <w:szCs w:val="24"/>
              </w:rPr>
            </w:pPr>
          </w:p>
        </w:tc>
        <w:tc>
          <w:tcPr>
            <w:tcW w:w="983" w:type="dxa"/>
          </w:tcPr>
          <w:p>
            <w:pPr>
              <w:numPr>
                <w:ilvl w:val="255"/>
                <w:numId w:val="0"/>
              </w:numPr>
              <w:spacing w:line="600" w:lineRule="exact"/>
              <w:rPr>
                <w:rFonts w:ascii="仿宋_GB2312" w:hAnsi="仿宋_GB2312" w:eastAsia="仿宋_GB2312" w:cs="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pPr>
              <w:numPr>
                <w:ilvl w:val="255"/>
                <w:numId w:val="0"/>
              </w:numPr>
              <w:spacing w:line="600" w:lineRule="exact"/>
              <w:rPr>
                <w:rFonts w:ascii="仿宋_GB2312" w:hAnsi="仿宋_GB2312" w:eastAsia="仿宋_GB2312" w:cs="仿宋_GB2312"/>
                <w:sz w:val="28"/>
                <w:szCs w:val="24"/>
              </w:rPr>
            </w:pPr>
          </w:p>
        </w:tc>
        <w:tc>
          <w:tcPr>
            <w:tcW w:w="1118" w:type="dxa"/>
          </w:tcPr>
          <w:p>
            <w:pPr>
              <w:numPr>
                <w:ilvl w:val="255"/>
                <w:numId w:val="0"/>
              </w:numPr>
              <w:spacing w:line="600" w:lineRule="exact"/>
              <w:rPr>
                <w:rFonts w:ascii="仿宋_GB2312" w:hAnsi="仿宋_GB2312" w:eastAsia="仿宋_GB2312" w:cs="仿宋_GB2312"/>
                <w:sz w:val="28"/>
                <w:szCs w:val="24"/>
              </w:rPr>
            </w:pPr>
          </w:p>
        </w:tc>
        <w:tc>
          <w:tcPr>
            <w:tcW w:w="1350" w:type="dxa"/>
          </w:tcPr>
          <w:p>
            <w:pPr>
              <w:numPr>
                <w:ilvl w:val="255"/>
                <w:numId w:val="0"/>
              </w:numPr>
              <w:spacing w:line="600" w:lineRule="exact"/>
              <w:rPr>
                <w:rFonts w:ascii="仿宋_GB2312" w:hAnsi="仿宋_GB2312" w:eastAsia="仿宋_GB2312" w:cs="仿宋_GB2312"/>
                <w:sz w:val="28"/>
                <w:szCs w:val="24"/>
              </w:rPr>
            </w:pPr>
          </w:p>
        </w:tc>
        <w:tc>
          <w:tcPr>
            <w:tcW w:w="2237" w:type="dxa"/>
          </w:tcPr>
          <w:p>
            <w:pPr>
              <w:numPr>
                <w:ilvl w:val="255"/>
                <w:numId w:val="0"/>
              </w:numPr>
              <w:spacing w:line="600" w:lineRule="exact"/>
              <w:rPr>
                <w:rFonts w:ascii="仿宋_GB2312" w:hAnsi="仿宋_GB2312" w:eastAsia="仿宋_GB2312" w:cs="仿宋_GB2312"/>
                <w:sz w:val="28"/>
                <w:szCs w:val="24"/>
              </w:rPr>
            </w:pPr>
          </w:p>
        </w:tc>
        <w:tc>
          <w:tcPr>
            <w:tcW w:w="2413" w:type="dxa"/>
          </w:tcPr>
          <w:p>
            <w:pPr>
              <w:numPr>
                <w:ilvl w:val="255"/>
                <w:numId w:val="0"/>
              </w:numPr>
              <w:spacing w:line="600" w:lineRule="exact"/>
              <w:rPr>
                <w:rFonts w:ascii="仿宋_GB2312" w:hAnsi="仿宋_GB2312" w:eastAsia="仿宋_GB2312" w:cs="仿宋_GB2312"/>
                <w:sz w:val="28"/>
                <w:szCs w:val="24"/>
              </w:rPr>
            </w:pPr>
          </w:p>
        </w:tc>
        <w:tc>
          <w:tcPr>
            <w:tcW w:w="983" w:type="dxa"/>
          </w:tcPr>
          <w:p>
            <w:pPr>
              <w:numPr>
                <w:ilvl w:val="255"/>
                <w:numId w:val="0"/>
              </w:numPr>
              <w:spacing w:line="600" w:lineRule="exact"/>
              <w:rPr>
                <w:rFonts w:ascii="仿宋_GB2312" w:hAnsi="仿宋_GB2312" w:eastAsia="仿宋_GB2312" w:cs="仿宋_GB2312"/>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8" w:type="dxa"/>
          </w:tcPr>
          <w:p>
            <w:pPr>
              <w:numPr>
                <w:ilvl w:val="255"/>
                <w:numId w:val="0"/>
              </w:numPr>
              <w:spacing w:line="600" w:lineRule="exact"/>
              <w:rPr>
                <w:rFonts w:ascii="仿宋_GB2312" w:hAnsi="仿宋_GB2312" w:eastAsia="仿宋_GB2312" w:cs="仿宋_GB2312"/>
                <w:sz w:val="28"/>
                <w:szCs w:val="24"/>
              </w:rPr>
            </w:pPr>
          </w:p>
        </w:tc>
        <w:tc>
          <w:tcPr>
            <w:tcW w:w="1118" w:type="dxa"/>
          </w:tcPr>
          <w:p>
            <w:pPr>
              <w:numPr>
                <w:ilvl w:val="255"/>
                <w:numId w:val="0"/>
              </w:numPr>
              <w:spacing w:line="600" w:lineRule="exact"/>
              <w:rPr>
                <w:rFonts w:ascii="仿宋_GB2312" w:hAnsi="仿宋_GB2312" w:eastAsia="仿宋_GB2312" w:cs="仿宋_GB2312"/>
                <w:sz w:val="28"/>
                <w:szCs w:val="24"/>
              </w:rPr>
            </w:pPr>
          </w:p>
        </w:tc>
        <w:tc>
          <w:tcPr>
            <w:tcW w:w="1350" w:type="dxa"/>
          </w:tcPr>
          <w:p>
            <w:pPr>
              <w:numPr>
                <w:ilvl w:val="255"/>
                <w:numId w:val="0"/>
              </w:numPr>
              <w:spacing w:line="600" w:lineRule="exact"/>
              <w:rPr>
                <w:rFonts w:ascii="仿宋_GB2312" w:hAnsi="仿宋_GB2312" w:eastAsia="仿宋_GB2312" w:cs="仿宋_GB2312"/>
                <w:sz w:val="28"/>
                <w:szCs w:val="24"/>
              </w:rPr>
            </w:pPr>
          </w:p>
        </w:tc>
        <w:tc>
          <w:tcPr>
            <w:tcW w:w="2237" w:type="dxa"/>
          </w:tcPr>
          <w:p>
            <w:pPr>
              <w:numPr>
                <w:ilvl w:val="255"/>
                <w:numId w:val="0"/>
              </w:numPr>
              <w:spacing w:line="600" w:lineRule="exact"/>
              <w:rPr>
                <w:rFonts w:ascii="仿宋_GB2312" w:hAnsi="仿宋_GB2312" w:eastAsia="仿宋_GB2312" w:cs="仿宋_GB2312"/>
                <w:sz w:val="28"/>
                <w:szCs w:val="24"/>
              </w:rPr>
            </w:pPr>
          </w:p>
        </w:tc>
        <w:tc>
          <w:tcPr>
            <w:tcW w:w="2413" w:type="dxa"/>
          </w:tcPr>
          <w:p>
            <w:pPr>
              <w:numPr>
                <w:ilvl w:val="255"/>
                <w:numId w:val="0"/>
              </w:numPr>
              <w:spacing w:line="600" w:lineRule="exact"/>
              <w:rPr>
                <w:rFonts w:ascii="仿宋_GB2312" w:hAnsi="仿宋_GB2312" w:eastAsia="仿宋_GB2312" w:cs="仿宋_GB2312"/>
                <w:sz w:val="28"/>
                <w:szCs w:val="24"/>
              </w:rPr>
            </w:pPr>
          </w:p>
        </w:tc>
        <w:tc>
          <w:tcPr>
            <w:tcW w:w="983" w:type="dxa"/>
          </w:tcPr>
          <w:p>
            <w:pPr>
              <w:numPr>
                <w:ilvl w:val="255"/>
                <w:numId w:val="0"/>
              </w:numPr>
              <w:spacing w:line="600" w:lineRule="exact"/>
              <w:rPr>
                <w:rFonts w:ascii="仿宋_GB2312" w:hAnsi="仿宋_GB2312" w:eastAsia="仿宋_GB2312" w:cs="仿宋_GB2312"/>
                <w:sz w:val="28"/>
                <w:szCs w:val="24"/>
              </w:rPr>
            </w:pPr>
          </w:p>
        </w:tc>
      </w:tr>
    </w:tbl>
    <w:p>
      <w:pPr>
        <w:numPr>
          <w:ilvl w:val="255"/>
          <w:numId w:val="0"/>
        </w:numPr>
        <w:spacing w:line="600" w:lineRule="exact"/>
        <w:rPr>
          <w:rFonts w:ascii="仿宋_GB2312" w:hAnsi="仿宋_GB2312" w:eastAsia="仿宋_GB2312" w:cs="仿宋_GB2312"/>
          <w:szCs w:val="21"/>
        </w:rPr>
      </w:pPr>
      <w:r>
        <w:rPr>
          <w:rFonts w:hint="eastAsia" w:ascii="仿宋_GB2312" w:hAnsi="仿宋_GB2312" w:eastAsia="仿宋_GB2312" w:cs="仿宋_GB2312"/>
          <w:szCs w:val="21"/>
        </w:rPr>
        <w:t>注：符合加分的项目组成员，应按要求附有效支撑文件。</w:t>
      </w:r>
    </w:p>
    <w:p>
      <w:pPr>
        <w:numPr>
          <w:ilvl w:val="255"/>
          <w:numId w:val="0"/>
        </w:numPr>
        <w:spacing w:line="600" w:lineRule="exact"/>
        <w:rPr>
          <w:rFonts w:ascii="仿宋_GB2312" w:hAnsi="仿宋_GB2312" w:eastAsia="仿宋_GB2312" w:cs="仿宋_GB2312"/>
          <w:sz w:val="28"/>
          <w:szCs w:val="28"/>
        </w:rPr>
      </w:pPr>
      <w:r>
        <w:rPr>
          <w:rFonts w:hint="eastAsia" w:ascii="仿宋_GB2312" w:hAnsi="仿宋_GB2312" w:eastAsia="仿宋_GB2312" w:cs="仿宋_GB2312"/>
          <w:sz w:val="28"/>
          <w:szCs w:val="28"/>
        </w:rPr>
        <w:t>（三）其他要求：</w:t>
      </w:r>
    </w:p>
    <w:p>
      <w:pPr>
        <w:numPr>
          <w:ilvl w:val="255"/>
          <w:numId w:val="0"/>
        </w:numPr>
        <w:spacing w:line="600" w:lineRule="exact"/>
        <w:ind w:firstLine="560" w:firstLineChars="200"/>
        <w:rPr>
          <w:rFonts w:ascii="仿宋_GB2312" w:hAnsi="仿宋_GB2312" w:eastAsia="仿宋_GB2312" w:cs="仿宋_GB2312"/>
          <w:sz w:val="28"/>
          <w:szCs w:val="28"/>
        </w:rPr>
        <w:sectPr>
          <w:pgSz w:w="11911" w:h="16838"/>
          <w:pgMar w:top="1474" w:right="1474" w:bottom="1474" w:left="1474" w:header="799" w:footer="918" w:gutter="0"/>
          <w:cols w:space="0" w:num="1"/>
        </w:sectPr>
      </w:pPr>
      <w:r>
        <w:rPr>
          <w:rFonts w:hint="eastAsia" w:ascii="仿宋_GB2312" w:hAnsi="仿宋_GB2312" w:eastAsia="仿宋_GB2312" w:cs="仿宋_GB2312"/>
          <w:sz w:val="28"/>
          <w:szCs w:val="28"/>
        </w:rPr>
        <w:t>无</w:t>
      </w:r>
    </w:p>
    <w:p>
      <w:pPr>
        <w:pStyle w:val="4"/>
        <w:spacing w:before="0" w:after="0" w:line="600" w:lineRule="exact"/>
        <w:rPr>
          <w:rFonts w:ascii="仿宋_GB2312" w:hAnsi="仿宋_GB2312" w:eastAsia="仿宋_GB2312" w:cs="仿宋_GB2312"/>
          <w:kern w:val="2"/>
          <w:sz w:val="28"/>
          <w:szCs w:val="24"/>
        </w:rPr>
      </w:pPr>
      <w:r>
        <w:rPr>
          <w:rFonts w:hint="eastAsia" w:ascii="仿宋_GB2312" w:hAnsi="仿宋_GB2312" w:eastAsia="仿宋_GB2312" w:cs="仿宋_GB2312"/>
          <w:kern w:val="2"/>
          <w:sz w:val="28"/>
          <w:szCs w:val="24"/>
        </w:rPr>
        <w:t>七、咨询服务方案</w:t>
      </w:r>
    </w:p>
    <w:p>
      <w:pPr>
        <w:spacing w:before="195" w:line="600" w:lineRule="exact"/>
        <w:ind w:right="239"/>
        <w:jc w:val="center"/>
        <w:rPr>
          <w:rFonts w:ascii="仿宋_GB2312" w:hAnsi="仿宋_GB2312" w:eastAsia="仿宋_GB2312" w:cs="仿宋_GB2312"/>
          <w:b/>
          <w:bCs/>
          <w:sz w:val="28"/>
          <w:szCs w:val="24"/>
        </w:rPr>
      </w:pPr>
      <w:r>
        <w:rPr>
          <w:rFonts w:ascii="仿宋_GB2312" w:hAnsi="仿宋_GB2312" w:eastAsia="仿宋_GB2312" w:cs="仿宋_GB2312"/>
          <w:b/>
          <w:bCs/>
          <w:sz w:val="28"/>
          <w:szCs w:val="24"/>
        </w:rPr>
        <w:t>咨询服务方案</w:t>
      </w:r>
    </w:p>
    <w:p>
      <w:pPr>
        <w:spacing w:line="6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针对本项目分步分项服务内容、技术路线、产出成果，编制组织实施方案，包含对服务内容、服务流程、制度建设、组织机构、专业人员配备、对重点、难点的分析与理解及应对措施、进度及质量保证措施等，格式自拟。</w:t>
      </w: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rPr>
          <w:rFonts w:ascii="仿宋_GB2312" w:hAnsi="仿宋_GB2312" w:eastAsia="仿宋_GB2312" w:cs="仿宋_GB2312"/>
          <w:sz w:val="28"/>
        </w:rPr>
      </w:pPr>
    </w:p>
    <w:p>
      <w:pPr>
        <w:pStyle w:val="7"/>
        <w:spacing w:before="56"/>
        <w:ind w:left="0"/>
        <w:jc w:val="left"/>
        <w:rPr>
          <w:rFonts w:ascii="仿宋_GB2312" w:hAnsi="仿宋_GB2312" w:eastAsia="仿宋_GB2312" w:cs="仿宋_GB2312"/>
          <w:sz w:val="28"/>
          <w:lang w:val="en-US" w:bidi="ar-SA"/>
        </w:rPr>
      </w:pPr>
    </w:p>
    <w:p>
      <w:pPr>
        <w:pStyle w:val="7"/>
        <w:spacing w:before="56"/>
        <w:ind w:left="0"/>
        <w:jc w:val="left"/>
        <w:rPr>
          <w:rFonts w:ascii="仿宋_GB2312" w:hAnsi="仿宋_GB2312" w:eastAsia="仿宋_GB2312" w:cs="仿宋_GB2312"/>
          <w:sz w:val="28"/>
          <w:lang w:val="en-US" w:bidi="ar-SA"/>
        </w:rPr>
      </w:pPr>
    </w:p>
    <w:p>
      <w:pPr>
        <w:pStyle w:val="7"/>
        <w:spacing w:before="56"/>
        <w:ind w:left="0"/>
        <w:jc w:val="left"/>
        <w:rPr>
          <w:rFonts w:ascii="仿宋_GB2312" w:hAnsi="仿宋_GB2312" w:eastAsia="仿宋_GB2312" w:cs="仿宋_GB2312"/>
          <w:sz w:val="28"/>
          <w:lang w:val="en-US" w:bidi="ar-SA"/>
        </w:rPr>
      </w:pPr>
      <w:r>
        <w:rPr>
          <w:rFonts w:hint="eastAsia" w:ascii="仿宋_GB2312" w:hAnsi="仿宋_GB2312" w:eastAsia="仿宋_GB2312" w:cs="仿宋_GB2312"/>
          <w:sz w:val="28"/>
          <w:lang w:val="en-US" w:bidi="ar-SA"/>
        </w:rPr>
        <w:t>八、比选申请人提供的其他材料</w:t>
      </w:r>
    </w:p>
    <w:p>
      <w:pPr>
        <w:pStyle w:val="7"/>
        <w:spacing w:before="56"/>
        <w:jc w:val="left"/>
        <w:rPr>
          <w:rFonts w:ascii="仿宋_GB2312" w:hAnsi="仿宋_GB2312" w:eastAsia="仿宋_GB2312" w:cs="仿宋_GB2312"/>
          <w:b w:val="0"/>
          <w:bCs w:val="0"/>
          <w:sz w:val="28"/>
          <w:lang w:val="en-US" w:bidi="ar-SA"/>
        </w:rPr>
      </w:pPr>
    </w:p>
    <w:p>
      <w:pPr>
        <w:spacing w:line="600" w:lineRule="exact"/>
        <w:rPr>
          <w:rFonts w:ascii="仿宋_GB2312" w:hAnsi="仿宋_GB2312" w:eastAsia="仿宋_GB2312" w:cs="仿宋_GB2312"/>
          <w:sz w:val="28"/>
          <w:szCs w:val="24"/>
        </w:rPr>
      </w:pPr>
    </w:p>
    <w:p>
      <w:pPr>
        <w:spacing w:line="600" w:lineRule="exact"/>
        <w:rPr>
          <w:rFonts w:ascii="仿宋_GB2312" w:hAnsi="仿宋_GB2312" w:eastAsia="仿宋_GB2312" w:cs="仿宋_GB2312"/>
          <w:sz w:val="28"/>
          <w:szCs w:val="24"/>
        </w:rPr>
      </w:pPr>
    </w:p>
    <w:p>
      <w:pPr>
        <w:spacing w:line="600" w:lineRule="exact"/>
        <w:rPr>
          <w:rFonts w:ascii="仿宋_GB2312" w:hAnsi="仿宋_GB2312" w:eastAsia="仿宋_GB2312" w:cs="仿宋_GB2312"/>
          <w:sz w:val="28"/>
          <w:szCs w:val="24"/>
        </w:rPr>
      </w:pPr>
    </w:p>
    <w:p>
      <w:pPr>
        <w:spacing w:line="600" w:lineRule="exact"/>
        <w:rPr>
          <w:rFonts w:ascii="仿宋_GB2312" w:hAnsi="仿宋_GB2312" w:eastAsia="仿宋_GB2312" w:cs="仿宋_GB2312"/>
          <w:sz w:val="28"/>
          <w:szCs w:val="24"/>
        </w:rPr>
      </w:pPr>
    </w:p>
    <w:p>
      <w:pPr>
        <w:spacing w:line="600" w:lineRule="exact"/>
        <w:rPr>
          <w:rFonts w:ascii="仿宋_GB2312" w:hAnsi="仿宋_GB2312" w:eastAsia="仿宋_GB2312" w:cs="仿宋_GB2312"/>
          <w:sz w:val="28"/>
          <w:szCs w:val="24"/>
        </w:rPr>
      </w:pPr>
    </w:p>
    <w:p>
      <w:pPr>
        <w:spacing w:line="600" w:lineRule="exact"/>
        <w:rPr>
          <w:rFonts w:ascii="仿宋_GB2312" w:hAnsi="仿宋_GB2312" w:eastAsia="仿宋_GB2312" w:cs="仿宋_GB2312"/>
          <w:sz w:val="28"/>
          <w:szCs w:val="24"/>
        </w:rPr>
      </w:pPr>
    </w:p>
    <w:p>
      <w:pPr>
        <w:spacing w:line="600" w:lineRule="exact"/>
        <w:rPr>
          <w:rFonts w:ascii="仿宋_GB2312" w:hAnsi="仿宋_GB2312" w:eastAsia="仿宋_GB2312" w:cs="仿宋_GB2312"/>
          <w:sz w:val="28"/>
          <w:szCs w:val="24"/>
        </w:rPr>
      </w:pPr>
    </w:p>
    <w:p>
      <w:pPr>
        <w:spacing w:line="600" w:lineRule="exact"/>
        <w:rPr>
          <w:rFonts w:ascii="仿宋_GB2312" w:hAnsi="仿宋_GB2312" w:eastAsia="仿宋_GB2312" w:cs="仿宋_GB2312"/>
          <w:sz w:val="28"/>
          <w:szCs w:val="24"/>
        </w:rPr>
      </w:pPr>
    </w:p>
    <w:p>
      <w:pPr>
        <w:spacing w:line="600" w:lineRule="exact"/>
        <w:rPr>
          <w:rFonts w:ascii="仿宋_GB2312" w:hAnsi="仿宋_GB2312" w:eastAsia="仿宋_GB2312" w:cs="仿宋_GB2312"/>
          <w:sz w:val="28"/>
          <w:szCs w:val="24"/>
        </w:rPr>
      </w:pPr>
    </w:p>
    <w:p>
      <w:pPr>
        <w:spacing w:line="600" w:lineRule="exact"/>
        <w:rPr>
          <w:rFonts w:ascii="仿宋_GB2312" w:hAnsi="仿宋_GB2312" w:eastAsia="仿宋_GB2312" w:cs="仿宋_GB2312"/>
          <w:sz w:val="28"/>
          <w:szCs w:val="24"/>
        </w:rPr>
      </w:pPr>
    </w:p>
    <w:p>
      <w:pPr>
        <w:rPr>
          <w:rFonts w:ascii="仿宋_GB2312" w:hAnsi="仿宋_GB2312" w:eastAsia="仿宋_GB2312" w:cs="仿宋_GB2312"/>
          <w:sz w:val="28"/>
          <w:szCs w:val="24"/>
        </w:rPr>
      </w:pPr>
      <w:r>
        <w:rPr>
          <w:rFonts w:ascii="仿宋_GB2312" w:hAnsi="仿宋_GB2312" w:eastAsia="仿宋_GB2312" w:cs="仿宋_GB2312"/>
          <w:sz w:val="28"/>
          <w:szCs w:val="24"/>
        </w:rPr>
        <w:br w:type="page"/>
      </w:r>
    </w:p>
    <w:p>
      <w:pPr>
        <w:widowControl/>
        <w:autoSpaceDE w:val="0"/>
        <w:autoSpaceDN w:val="0"/>
        <w:spacing w:line="600" w:lineRule="exact"/>
        <w:jc w:val="center"/>
        <w:textAlignment w:val="bottom"/>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四川成渝高速公路股份有限公司成渝分公司</w:t>
      </w:r>
    </w:p>
    <w:p>
      <w:pPr>
        <w:widowControl/>
        <w:autoSpaceDE w:val="0"/>
        <w:autoSpaceDN w:val="0"/>
        <w:spacing w:line="600" w:lineRule="exact"/>
        <w:jc w:val="center"/>
        <w:textAlignment w:val="bottom"/>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周期性安全咨询服务项目</w:t>
      </w:r>
    </w:p>
    <w:p>
      <w:pPr>
        <w:widowControl/>
        <w:autoSpaceDE w:val="0"/>
        <w:autoSpaceDN w:val="0"/>
        <w:spacing w:line="600" w:lineRule="exact"/>
        <w:textAlignment w:val="bottom"/>
        <w:rPr>
          <w:rFonts w:ascii="仿宋_GB2312" w:hAnsi="仿宋_GB2312" w:eastAsia="仿宋_GB2312" w:cs="仿宋_GB2312"/>
          <w:sz w:val="28"/>
          <w:szCs w:val="24"/>
        </w:rPr>
      </w:pPr>
    </w:p>
    <w:p>
      <w:pPr>
        <w:widowControl/>
        <w:autoSpaceDE w:val="0"/>
        <w:autoSpaceDN w:val="0"/>
        <w:spacing w:line="600" w:lineRule="exact"/>
        <w:jc w:val="center"/>
        <w:textAlignment w:val="bottom"/>
        <w:rPr>
          <w:rFonts w:ascii="仿宋_GB2312" w:hAnsi="仿宋_GB2312" w:eastAsia="仿宋_GB2312" w:cs="仿宋_GB2312"/>
          <w:sz w:val="28"/>
          <w:szCs w:val="24"/>
        </w:rPr>
      </w:pPr>
    </w:p>
    <w:p>
      <w:pPr>
        <w:widowControl/>
        <w:autoSpaceDE w:val="0"/>
        <w:autoSpaceDN w:val="0"/>
        <w:spacing w:line="600" w:lineRule="exact"/>
        <w:jc w:val="center"/>
        <w:textAlignment w:val="bottom"/>
        <w:rPr>
          <w:rFonts w:ascii="仿宋_GB2312" w:hAnsi="仿宋_GB2312" w:eastAsia="仿宋_GB2312" w:cs="仿宋_GB2312"/>
          <w:sz w:val="28"/>
          <w:szCs w:val="24"/>
        </w:rPr>
      </w:pPr>
    </w:p>
    <w:p>
      <w:pPr>
        <w:widowControl/>
        <w:autoSpaceDE w:val="0"/>
        <w:autoSpaceDN w:val="0"/>
        <w:spacing w:line="600" w:lineRule="exact"/>
        <w:jc w:val="center"/>
        <w:textAlignment w:val="bottom"/>
        <w:rPr>
          <w:rFonts w:ascii="仿宋_GB2312" w:hAnsi="仿宋_GB2312" w:eastAsia="仿宋_GB2312" w:cs="仿宋_GB2312"/>
          <w:sz w:val="30"/>
          <w:szCs w:val="30"/>
        </w:rPr>
      </w:pPr>
    </w:p>
    <w:p>
      <w:pPr>
        <w:widowControl/>
        <w:autoSpaceDE w:val="0"/>
        <w:autoSpaceDN w:val="0"/>
        <w:spacing w:before="240" w:line="600" w:lineRule="exact"/>
        <w:jc w:val="center"/>
        <w:textAlignment w:val="bottom"/>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比 选 申 请 文 件</w:t>
      </w:r>
    </w:p>
    <w:p>
      <w:pPr>
        <w:spacing w:line="6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第二信封（报价文件）</w:t>
      </w:r>
    </w:p>
    <w:p>
      <w:pPr>
        <w:spacing w:line="600" w:lineRule="exact"/>
        <w:jc w:val="center"/>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p>
    <w:p>
      <w:pPr>
        <w:spacing w:line="600" w:lineRule="exact"/>
        <w:ind w:firstLine="2250" w:firstLineChars="750"/>
        <w:jc w:val="left"/>
        <w:rPr>
          <w:rFonts w:ascii="仿宋_GB2312" w:hAnsi="仿宋_GB2312" w:eastAsia="仿宋_GB2312" w:cs="仿宋_GB2312"/>
          <w:sz w:val="30"/>
          <w:szCs w:val="30"/>
        </w:rPr>
      </w:pPr>
    </w:p>
    <w:p>
      <w:pPr>
        <w:spacing w:line="600" w:lineRule="exact"/>
        <w:ind w:firstLine="2250" w:firstLineChars="750"/>
        <w:jc w:val="left"/>
        <w:rPr>
          <w:rFonts w:ascii="仿宋_GB2312" w:hAnsi="仿宋_GB2312" w:eastAsia="仿宋_GB2312" w:cs="仿宋_GB2312"/>
          <w:sz w:val="30"/>
          <w:szCs w:val="30"/>
        </w:rPr>
      </w:pPr>
    </w:p>
    <w:p>
      <w:pPr>
        <w:spacing w:line="6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比 选 申 请 人：        （单位名称）（公章） </w:t>
      </w:r>
    </w:p>
    <w:p>
      <w:pPr>
        <w:spacing w:before="120" w:beforeLines="50" w:line="600" w:lineRule="exact"/>
        <w:jc w:val="center"/>
        <w:rPr>
          <w:rFonts w:ascii="仿宋_GB2312" w:hAnsi="仿宋_GB2312" w:eastAsia="仿宋_GB2312" w:cs="仿宋_GB2312"/>
          <w:sz w:val="30"/>
          <w:szCs w:val="30"/>
        </w:rPr>
      </w:pPr>
      <w:r>
        <w:rPr>
          <w:rFonts w:hint="eastAsia" w:ascii="仿宋_GB2312" w:hAnsi="仿宋_GB2312" w:eastAsia="仿宋_GB2312" w:cs="仿宋_GB2312"/>
          <w:sz w:val="30"/>
          <w:szCs w:val="30"/>
        </w:rPr>
        <w:t xml:space="preserve">       年    月</w:t>
      </w:r>
    </w:p>
    <w:p>
      <w:pPr>
        <w:widowControl/>
        <w:spacing w:line="600" w:lineRule="exact"/>
        <w:ind w:firstLine="770" w:firstLineChars="175"/>
        <w:jc w:val="center"/>
        <w:rPr>
          <w:rFonts w:ascii="仿宋_GB2312" w:hAnsi="仿宋_GB2312" w:eastAsia="仿宋_GB2312" w:cs="仿宋_GB2312"/>
          <w:sz w:val="44"/>
          <w:szCs w:val="44"/>
        </w:rPr>
      </w:pPr>
    </w:p>
    <w:p>
      <w:pPr>
        <w:pStyle w:val="15"/>
        <w:spacing w:line="360" w:lineRule="auto"/>
        <w:jc w:val="center"/>
        <w:rPr>
          <w:rFonts w:hAnsi="宋体"/>
          <w:b/>
          <w:bCs/>
          <w:sz w:val="32"/>
          <w:szCs w:val="32"/>
        </w:rPr>
      </w:pPr>
    </w:p>
    <w:p>
      <w:pPr>
        <w:pStyle w:val="15"/>
        <w:spacing w:line="360" w:lineRule="auto"/>
        <w:jc w:val="center"/>
        <w:rPr>
          <w:rFonts w:hAnsi="宋体"/>
          <w:b/>
          <w:bCs/>
          <w:sz w:val="32"/>
          <w:szCs w:val="32"/>
        </w:rPr>
      </w:pPr>
    </w:p>
    <w:p>
      <w:pPr>
        <w:pStyle w:val="15"/>
        <w:spacing w:line="360" w:lineRule="auto"/>
        <w:jc w:val="center"/>
        <w:rPr>
          <w:rFonts w:hAnsi="宋体"/>
          <w:b/>
          <w:bCs/>
          <w:sz w:val="32"/>
          <w:szCs w:val="32"/>
        </w:rPr>
      </w:pPr>
    </w:p>
    <w:p>
      <w:pPr>
        <w:pStyle w:val="15"/>
        <w:spacing w:line="360" w:lineRule="auto"/>
        <w:jc w:val="center"/>
        <w:rPr>
          <w:rFonts w:hAnsi="宋体"/>
          <w:b/>
          <w:bCs/>
          <w:sz w:val="32"/>
          <w:szCs w:val="32"/>
        </w:rPr>
      </w:pPr>
    </w:p>
    <w:p>
      <w:pPr>
        <w:pStyle w:val="15"/>
        <w:spacing w:line="360" w:lineRule="auto"/>
        <w:jc w:val="center"/>
        <w:rPr>
          <w:rFonts w:hAnsi="宋体"/>
          <w:b/>
          <w:bCs/>
          <w:sz w:val="32"/>
          <w:szCs w:val="32"/>
        </w:rPr>
      </w:pPr>
      <w:r>
        <w:rPr>
          <w:rFonts w:hint="eastAsia" w:hAnsi="宋体"/>
          <w:b/>
          <w:bCs/>
          <w:sz w:val="32"/>
          <w:szCs w:val="32"/>
        </w:rPr>
        <w:t>目    录</w:t>
      </w:r>
    </w:p>
    <w:p>
      <w:pPr>
        <w:pStyle w:val="15"/>
        <w:snapToGrid w:val="0"/>
        <w:spacing w:line="360" w:lineRule="auto"/>
        <w:rPr>
          <w:rFonts w:hAnsi="宋体"/>
          <w:b/>
          <w:sz w:val="24"/>
          <w:szCs w:val="24"/>
        </w:rPr>
      </w:pPr>
    </w:p>
    <w:p>
      <w:pPr>
        <w:pStyle w:val="15"/>
        <w:spacing w:line="360" w:lineRule="auto"/>
        <w:rPr>
          <w:rFonts w:hAnsi="宋体"/>
        </w:rPr>
      </w:pPr>
    </w:p>
    <w:p>
      <w:pPr>
        <w:pStyle w:val="15"/>
        <w:spacing w:line="360" w:lineRule="auto"/>
        <w:rPr>
          <w:rFonts w:hAnsi="宋体"/>
          <w:sz w:val="24"/>
          <w:szCs w:val="24"/>
        </w:rPr>
      </w:pPr>
      <w:r>
        <w:rPr>
          <w:rFonts w:hint="eastAsia" w:hAnsi="宋体"/>
          <w:sz w:val="24"/>
          <w:szCs w:val="24"/>
        </w:rPr>
        <w:t>一、报价函</w:t>
      </w:r>
    </w:p>
    <w:p>
      <w:pPr>
        <w:pStyle w:val="15"/>
        <w:spacing w:line="360" w:lineRule="auto"/>
        <w:rPr>
          <w:rFonts w:hAnsi="宋体"/>
          <w:sz w:val="24"/>
          <w:szCs w:val="24"/>
        </w:rPr>
      </w:pPr>
      <w:r>
        <w:rPr>
          <w:rFonts w:hint="eastAsia" w:hAnsi="宋体"/>
          <w:sz w:val="24"/>
          <w:szCs w:val="24"/>
        </w:rPr>
        <w:t>二、报价清单</w:t>
      </w: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rPr>
          <w:rFonts w:ascii="仿宋_GB2312" w:hAnsi="仿宋_GB2312" w:eastAsia="仿宋_GB2312" w:cs="仿宋_GB2312"/>
          <w:b/>
          <w:bCs/>
          <w:sz w:val="30"/>
          <w:szCs w:val="30"/>
        </w:rPr>
      </w:pPr>
    </w:p>
    <w:p>
      <w:pPr>
        <w:spacing w:line="600" w:lineRule="exact"/>
        <w:ind w:firstLine="3614" w:firstLineChars="1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一、报 价 函</w:t>
      </w:r>
    </w:p>
    <w:p>
      <w:pPr>
        <w:spacing w:line="600" w:lineRule="exact"/>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四川成渝高速公路股份有限公司成渝分公司</w:t>
      </w:r>
      <w:r>
        <w:rPr>
          <w:rFonts w:hint="eastAsia" w:ascii="仿宋_GB2312" w:hAnsi="仿宋_GB2312" w:eastAsia="仿宋_GB2312" w:cs="仿宋_GB2312"/>
          <w:sz w:val="28"/>
          <w:szCs w:val="24"/>
        </w:rPr>
        <w:t xml:space="preserve"> :</w:t>
      </w:r>
    </w:p>
    <w:p>
      <w:pPr>
        <w:tabs>
          <w:tab w:val="left" w:pos="1350"/>
          <w:tab w:val="center" w:pos="4156"/>
        </w:tabs>
        <w:spacing w:before="100" w:beforeAutospacing="1" w:line="600" w:lineRule="exact"/>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    1、经研究</w:t>
      </w:r>
      <w:r>
        <w:rPr>
          <w:rFonts w:hint="eastAsia" w:ascii="仿宋_GB2312" w:hAnsi="仿宋_GB2312" w:eastAsia="仿宋_GB2312" w:cs="仿宋_GB2312"/>
          <w:sz w:val="28"/>
          <w:szCs w:val="24"/>
          <w:u w:val="single"/>
        </w:rPr>
        <w:t>四川成渝高速公路股份有限公司成渝分公司周期性安全咨询服务项目</w:t>
      </w:r>
      <w:r>
        <w:rPr>
          <w:rFonts w:hint="eastAsia" w:ascii="仿宋_GB2312" w:hAnsi="仿宋_GB2312" w:eastAsia="仿宋_GB2312" w:cs="仿宋_GB2312"/>
          <w:sz w:val="28"/>
          <w:szCs w:val="24"/>
        </w:rPr>
        <w:t>比选文件后，我方就上述任务及相关服务提出报价申请。我公司报价为（大写）</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元（小写：</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元）人民币，年度报价清单见附件。</w:t>
      </w:r>
    </w:p>
    <w:p>
      <w:pPr>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2. 如果我公司中选，我公司保证在报价文件所规定的时间内按质量要求完成项目服务。</w:t>
      </w:r>
    </w:p>
    <w:p>
      <w:pPr>
        <w:spacing w:line="600" w:lineRule="exact"/>
        <w:ind w:firstLine="560" w:firstLineChars="200"/>
        <w:jc w:val="left"/>
        <w:rPr>
          <w:rFonts w:ascii="仿宋_GB2312" w:hAnsi="仿宋_GB2312" w:eastAsia="仿宋_GB2312" w:cs="仿宋_GB2312"/>
          <w:sz w:val="28"/>
          <w:szCs w:val="24"/>
        </w:rPr>
      </w:pPr>
      <w:r>
        <w:rPr>
          <w:rFonts w:hint="eastAsia" w:ascii="仿宋_GB2312" w:hAnsi="仿宋_GB2312" w:eastAsia="仿宋_GB2312" w:cs="仿宋_GB2312"/>
          <w:sz w:val="28"/>
          <w:szCs w:val="24"/>
        </w:rPr>
        <w:t>3.对本次咨询服务费报价为固定价，合同期间</w:t>
      </w:r>
      <w:r>
        <w:rPr>
          <w:rFonts w:ascii="仿宋_GB2312" w:hAnsi="仿宋_GB2312" w:eastAsia="仿宋_GB2312" w:cs="仿宋_GB2312"/>
          <w:sz w:val="28"/>
          <w:szCs w:val="24"/>
        </w:rPr>
        <w:t>不调价，</w:t>
      </w:r>
      <w:r>
        <w:rPr>
          <w:rFonts w:hint="eastAsia" w:ascii="仿宋_GB2312" w:hAnsi="仿宋_GB2312" w:eastAsia="仿宋_GB2312" w:cs="仿宋_GB2312"/>
          <w:sz w:val="28"/>
          <w:szCs w:val="24"/>
        </w:rPr>
        <w:t>该价格包括但不限于管理、保险、税金、自行现场踏勘、利润等费用以及所有责任（包括安全责任）、义务和一切风险等。</w:t>
      </w:r>
    </w:p>
    <w:p>
      <w:pPr>
        <w:snapToGrid w:val="0"/>
        <w:spacing w:line="600" w:lineRule="exact"/>
        <w:ind w:firstLine="3360" w:firstLineChars="12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比选申请人：（全称） </w:t>
      </w: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（盖章）</w:t>
      </w:r>
    </w:p>
    <w:p>
      <w:pPr>
        <w:snapToGrid w:val="0"/>
        <w:spacing w:line="600" w:lineRule="exact"/>
        <w:ind w:firstLine="1120" w:firstLineChars="4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法定代表人或其授权的代理人： </w:t>
      </w: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 xml:space="preserve">  </w:t>
      </w: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（签字）</w:t>
      </w:r>
    </w:p>
    <w:p>
      <w:pPr>
        <w:snapToGrid w:val="0"/>
        <w:spacing w:line="600" w:lineRule="exact"/>
        <w:ind w:firstLine="2800" w:firstLineChars="1000"/>
        <w:rPr>
          <w:rFonts w:ascii="仿宋_GB2312" w:hAnsi="仿宋_GB2312" w:eastAsia="仿宋_GB2312" w:cs="仿宋_GB2312"/>
          <w:sz w:val="28"/>
          <w:szCs w:val="24"/>
        </w:rPr>
      </w:pPr>
      <w:r>
        <w:rPr>
          <w:rFonts w:hint="eastAsia" w:ascii="仿宋_GB2312" w:hAnsi="仿宋_GB2312" w:eastAsia="仿宋_GB2312" w:cs="仿宋_GB2312"/>
          <w:sz w:val="28"/>
          <w:szCs w:val="24"/>
        </w:rPr>
        <w:t>比选申请人地址：</w:t>
      </w:r>
    </w:p>
    <w:p>
      <w:pPr>
        <w:snapToGrid w:val="0"/>
        <w:spacing w:line="600" w:lineRule="exact"/>
        <w:ind w:firstLine="3640" w:firstLineChars="13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邮政编码：  </w:t>
      </w:r>
    </w:p>
    <w:p>
      <w:pPr>
        <w:snapToGrid w:val="0"/>
        <w:spacing w:line="600" w:lineRule="exact"/>
        <w:ind w:firstLine="3640" w:firstLineChars="13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 xml:space="preserve"> </w:t>
      </w:r>
    </w:p>
    <w:p>
      <w:pPr>
        <w:snapToGrid w:val="0"/>
        <w:spacing w:line="600" w:lineRule="exact"/>
        <w:ind w:firstLine="3640" w:firstLineChars="13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传    真：         </w:t>
      </w:r>
      <w:r>
        <w:rPr>
          <w:rFonts w:ascii="仿宋_GB2312" w:hAnsi="仿宋_GB2312" w:eastAsia="仿宋_GB2312" w:cs="仿宋_GB2312"/>
          <w:sz w:val="28"/>
          <w:szCs w:val="24"/>
        </w:rPr>
        <w:t xml:space="preserve">               </w:t>
      </w:r>
    </w:p>
    <w:p>
      <w:pPr>
        <w:snapToGrid w:val="0"/>
        <w:spacing w:line="600" w:lineRule="exact"/>
        <w:ind w:firstLine="6440" w:firstLineChars="2300"/>
        <w:rPr>
          <w:rFonts w:ascii="仿宋_GB2312" w:hAnsi="仿宋_GB2312" w:eastAsia="仿宋_GB2312" w:cs="仿宋_GB2312"/>
          <w:sz w:val="28"/>
          <w:szCs w:val="24"/>
        </w:rPr>
      </w:pPr>
    </w:p>
    <w:p>
      <w:pPr>
        <w:ind w:firstLine="3640" w:firstLineChars="1300"/>
        <w:rPr>
          <w:rFonts w:ascii="仿宋_GB2312" w:hAnsi="仿宋_GB2312" w:eastAsia="仿宋_GB2312" w:cs="仿宋_GB2312"/>
          <w:sz w:val="28"/>
        </w:rPr>
      </w:pPr>
      <w:r>
        <w:rPr>
          <w:rFonts w:hint="eastAsia" w:ascii="仿宋_GB2312" w:hAnsi="仿宋_GB2312" w:eastAsia="仿宋_GB2312" w:cs="仿宋_GB2312"/>
          <w:sz w:val="28"/>
          <w:szCs w:val="24"/>
        </w:rPr>
        <w:t>日期：</w:t>
      </w: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年</w:t>
      </w: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月</w:t>
      </w:r>
      <w:r>
        <w:rPr>
          <w:rFonts w:ascii="仿宋_GB2312" w:hAnsi="仿宋_GB2312" w:eastAsia="仿宋_GB2312" w:cs="仿宋_GB2312"/>
          <w:sz w:val="28"/>
          <w:szCs w:val="24"/>
        </w:rPr>
        <w:t xml:space="preserve">   </w:t>
      </w:r>
      <w:r>
        <w:rPr>
          <w:rFonts w:hint="eastAsia" w:ascii="仿宋_GB2312" w:hAnsi="仿宋_GB2312" w:eastAsia="仿宋_GB2312" w:cs="仿宋_GB2312"/>
          <w:sz w:val="28"/>
          <w:szCs w:val="24"/>
        </w:rPr>
        <w:t>日</w:t>
      </w:r>
    </w:p>
    <w:p>
      <w:pPr>
        <w:rPr>
          <w:rFonts w:ascii="仿宋_GB2312" w:hAnsi="仿宋_GB2312" w:eastAsia="仿宋_GB2312" w:cs="仿宋_GB2312"/>
          <w:sz w:val="28"/>
        </w:rPr>
      </w:pPr>
    </w:p>
    <w:p>
      <w:pPr>
        <w:pStyle w:val="15"/>
        <w:ind w:firstLine="640"/>
        <w:jc w:val="center"/>
        <w:rPr>
          <w:rFonts w:ascii="黑体" w:hAnsi="Times New Roman" w:eastAsia="黑体"/>
          <w:sz w:val="32"/>
        </w:rPr>
      </w:pPr>
    </w:p>
    <w:p>
      <w:pPr>
        <w:pStyle w:val="15"/>
        <w:ind w:firstLine="640"/>
        <w:jc w:val="center"/>
        <w:rPr>
          <w:rFonts w:ascii="黑体" w:hAnsi="Times New Roman" w:eastAsia="黑体"/>
          <w:sz w:val="32"/>
        </w:rPr>
      </w:pPr>
    </w:p>
    <w:p>
      <w:pPr>
        <w:pStyle w:val="15"/>
        <w:ind w:firstLine="640"/>
        <w:jc w:val="center"/>
        <w:rPr>
          <w:rFonts w:ascii="黑体" w:hAnsi="Times New Roman" w:eastAsia="黑体"/>
          <w:sz w:val="32"/>
        </w:rPr>
      </w:pPr>
    </w:p>
    <w:p>
      <w:pPr>
        <w:pStyle w:val="15"/>
        <w:ind w:firstLine="640"/>
        <w:jc w:val="center"/>
        <w:rPr>
          <w:rFonts w:ascii="黑体" w:hAnsi="Times New Roman" w:eastAsia="黑体"/>
          <w:sz w:val="32"/>
        </w:rPr>
      </w:pPr>
    </w:p>
    <w:p>
      <w:pPr>
        <w:pStyle w:val="15"/>
        <w:ind w:firstLine="640"/>
        <w:jc w:val="center"/>
        <w:rPr>
          <w:rFonts w:ascii="黑体" w:hAnsi="Times New Roman" w:eastAsia="黑体"/>
          <w:sz w:val="32"/>
        </w:rPr>
      </w:pPr>
    </w:p>
    <w:p>
      <w:pPr>
        <w:pStyle w:val="15"/>
        <w:ind w:firstLine="640"/>
        <w:jc w:val="center"/>
        <w:rPr>
          <w:rFonts w:ascii="黑体" w:hAnsi="Times New Roman" w:eastAsia="黑体"/>
          <w:sz w:val="32"/>
        </w:rPr>
      </w:pPr>
    </w:p>
    <w:p>
      <w:pPr>
        <w:pStyle w:val="15"/>
        <w:ind w:firstLine="640"/>
        <w:jc w:val="center"/>
        <w:rPr>
          <w:rFonts w:ascii="黑体" w:hAnsi="Times New Roman" w:eastAsia="黑体"/>
          <w:sz w:val="32"/>
        </w:rPr>
      </w:pPr>
      <w:r>
        <w:rPr>
          <w:rFonts w:hint="eastAsia" w:ascii="黑体" w:hAnsi="Times New Roman" w:eastAsia="黑体"/>
          <w:sz w:val="32"/>
        </w:rPr>
        <w:t>二、比选申请报价清单</w:t>
      </w:r>
    </w:p>
    <w:p>
      <w:pPr>
        <w:pStyle w:val="15"/>
        <w:jc w:val="center"/>
        <w:rPr>
          <w:rFonts w:ascii="黑体" w:hAnsi="Times New Roman" w:eastAsia="黑体"/>
          <w:sz w:val="32"/>
        </w:rPr>
      </w:pPr>
    </w:p>
    <w:p>
      <w:pPr>
        <w:pStyle w:val="15"/>
        <w:jc w:val="center"/>
        <w:rPr>
          <w:rFonts w:ascii="黑体" w:hAnsi="Times New Roman" w:eastAsia="黑体"/>
          <w:sz w:val="32"/>
        </w:rPr>
      </w:pPr>
      <w:r>
        <w:rPr>
          <w:rFonts w:hint="eastAsia" w:ascii="黑体" w:hAnsi="Times New Roman" w:eastAsia="黑体"/>
          <w:sz w:val="32"/>
        </w:rPr>
        <w:t xml:space="preserve">                                       </w:t>
      </w:r>
    </w:p>
    <w:tbl>
      <w:tblPr>
        <w:tblStyle w:val="3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342"/>
        <w:gridCol w:w="915"/>
        <w:gridCol w:w="1245"/>
        <w:gridCol w:w="1451"/>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0" w:hRule="atLeast"/>
        </w:trPr>
        <w:tc>
          <w:tcPr>
            <w:tcW w:w="959" w:type="dxa"/>
            <w:vAlign w:val="center"/>
          </w:tcPr>
          <w:p>
            <w:pPr>
              <w:spacing w:line="160" w:lineRule="atLeast"/>
              <w:jc w:val="center"/>
              <w:rPr>
                <w:rFonts w:ascii="宋体" w:hAnsi="宋体"/>
                <w:sz w:val="24"/>
              </w:rPr>
            </w:pPr>
            <w:r>
              <w:rPr>
                <w:rFonts w:hint="eastAsia" w:ascii="宋体" w:hAnsi="宋体"/>
                <w:sz w:val="24"/>
              </w:rPr>
              <w:t>序号</w:t>
            </w:r>
          </w:p>
        </w:tc>
        <w:tc>
          <w:tcPr>
            <w:tcW w:w="2342" w:type="dxa"/>
            <w:vAlign w:val="center"/>
          </w:tcPr>
          <w:p>
            <w:pPr>
              <w:spacing w:line="160" w:lineRule="atLeast"/>
              <w:jc w:val="center"/>
              <w:rPr>
                <w:rFonts w:ascii="宋体" w:hAnsi="宋体"/>
                <w:sz w:val="24"/>
              </w:rPr>
            </w:pPr>
            <w:r>
              <w:rPr>
                <w:rFonts w:hint="eastAsia" w:ascii="宋体" w:hAnsi="宋体"/>
                <w:sz w:val="24"/>
              </w:rPr>
              <w:t>服务项目</w:t>
            </w:r>
          </w:p>
        </w:tc>
        <w:tc>
          <w:tcPr>
            <w:tcW w:w="915" w:type="dxa"/>
            <w:vAlign w:val="center"/>
          </w:tcPr>
          <w:p>
            <w:pPr>
              <w:spacing w:line="160" w:lineRule="atLeast"/>
              <w:jc w:val="center"/>
              <w:rPr>
                <w:rFonts w:ascii="宋体" w:hAnsi="宋体"/>
                <w:sz w:val="24"/>
              </w:rPr>
            </w:pPr>
            <w:r>
              <w:rPr>
                <w:rFonts w:hint="eastAsia" w:ascii="宋体" w:hAnsi="宋体"/>
                <w:sz w:val="24"/>
              </w:rPr>
              <w:t>年度</w:t>
            </w:r>
          </w:p>
        </w:tc>
        <w:tc>
          <w:tcPr>
            <w:tcW w:w="1245" w:type="dxa"/>
            <w:vAlign w:val="center"/>
          </w:tcPr>
          <w:p>
            <w:pPr>
              <w:spacing w:line="160" w:lineRule="atLeast"/>
              <w:jc w:val="center"/>
              <w:rPr>
                <w:rFonts w:ascii="宋体" w:hAnsi="宋体"/>
                <w:sz w:val="24"/>
              </w:rPr>
            </w:pPr>
            <w:r>
              <w:rPr>
                <w:rFonts w:hint="eastAsia" w:ascii="宋体" w:hAnsi="宋体"/>
                <w:sz w:val="24"/>
              </w:rPr>
              <w:t>服务人员数</w:t>
            </w:r>
          </w:p>
        </w:tc>
        <w:tc>
          <w:tcPr>
            <w:tcW w:w="1451" w:type="dxa"/>
            <w:vAlign w:val="center"/>
          </w:tcPr>
          <w:p>
            <w:pPr>
              <w:spacing w:line="160" w:lineRule="atLeast"/>
              <w:jc w:val="center"/>
              <w:rPr>
                <w:rFonts w:ascii="宋体" w:hAnsi="宋体"/>
                <w:sz w:val="24"/>
              </w:rPr>
            </w:pPr>
            <w:r>
              <w:rPr>
                <w:rFonts w:hint="eastAsia" w:ascii="宋体" w:hAnsi="宋体"/>
                <w:sz w:val="24"/>
              </w:rPr>
              <w:t>服务天数</w:t>
            </w:r>
          </w:p>
        </w:tc>
        <w:tc>
          <w:tcPr>
            <w:tcW w:w="2268" w:type="dxa"/>
            <w:vAlign w:val="center"/>
          </w:tcPr>
          <w:p>
            <w:pPr>
              <w:spacing w:line="160" w:lineRule="atLeast"/>
              <w:jc w:val="center"/>
              <w:rPr>
                <w:rFonts w:ascii="宋体" w:hAnsi="宋体"/>
                <w:sz w:val="24"/>
              </w:rPr>
            </w:pPr>
            <w:r>
              <w:rPr>
                <w:rFonts w:hint="eastAsia" w:ascii="宋体" w:hAnsi="宋体"/>
                <w:sz w:val="24"/>
              </w:rPr>
              <w:t>小计金额（元）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59" w:type="dxa"/>
            <w:vAlign w:val="center"/>
          </w:tcPr>
          <w:p>
            <w:pPr>
              <w:spacing w:line="160" w:lineRule="atLeast"/>
              <w:jc w:val="center"/>
              <w:rPr>
                <w:rFonts w:ascii="宋体" w:hAnsi="宋体"/>
                <w:sz w:val="24"/>
              </w:rPr>
            </w:pPr>
            <w:r>
              <w:rPr>
                <w:rFonts w:hint="eastAsia" w:ascii="宋体" w:hAnsi="宋体"/>
                <w:sz w:val="24"/>
              </w:rPr>
              <w:t>1</w:t>
            </w:r>
          </w:p>
        </w:tc>
        <w:tc>
          <w:tcPr>
            <w:tcW w:w="2342" w:type="dxa"/>
            <w:vAlign w:val="center"/>
          </w:tcPr>
          <w:p>
            <w:pPr>
              <w:spacing w:line="160" w:lineRule="atLeast"/>
              <w:jc w:val="center"/>
              <w:rPr>
                <w:rFonts w:ascii="宋体" w:hAnsi="宋体"/>
                <w:b/>
                <w:sz w:val="24"/>
              </w:rPr>
            </w:pPr>
            <w:r>
              <w:rPr>
                <w:rFonts w:hint="eastAsia" w:ascii="宋体" w:hAnsi="宋体"/>
                <w:b/>
                <w:sz w:val="24"/>
              </w:rPr>
              <w:t>安全生产年度标准化年度评价</w:t>
            </w:r>
          </w:p>
        </w:tc>
        <w:tc>
          <w:tcPr>
            <w:tcW w:w="915" w:type="dxa"/>
            <w:vAlign w:val="center"/>
          </w:tcPr>
          <w:p>
            <w:pPr>
              <w:spacing w:line="160" w:lineRule="atLeast"/>
              <w:jc w:val="center"/>
              <w:rPr>
                <w:rFonts w:ascii="宋体" w:hAnsi="宋体"/>
                <w:sz w:val="24"/>
              </w:rPr>
            </w:pPr>
            <w:r>
              <w:rPr>
                <w:rFonts w:hint="eastAsia" w:ascii="宋体" w:hAnsi="宋体"/>
                <w:sz w:val="24"/>
              </w:rPr>
              <w:t>2</w:t>
            </w:r>
          </w:p>
        </w:tc>
        <w:tc>
          <w:tcPr>
            <w:tcW w:w="1245" w:type="dxa"/>
            <w:vAlign w:val="center"/>
          </w:tcPr>
          <w:p>
            <w:pPr>
              <w:spacing w:line="160" w:lineRule="atLeast"/>
              <w:jc w:val="center"/>
              <w:rPr>
                <w:rFonts w:ascii="宋体" w:hAnsi="宋体"/>
                <w:sz w:val="24"/>
              </w:rPr>
            </w:pPr>
            <w:r>
              <w:rPr>
                <w:rFonts w:hint="eastAsia" w:ascii="宋体" w:hAnsi="宋体"/>
                <w:sz w:val="24"/>
              </w:rPr>
              <w:t>4</w:t>
            </w:r>
          </w:p>
        </w:tc>
        <w:tc>
          <w:tcPr>
            <w:tcW w:w="1451" w:type="dxa"/>
            <w:vAlign w:val="center"/>
          </w:tcPr>
          <w:p>
            <w:pPr>
              <w:spacing w:line="160" w:lineRule="atLeast"/>
              <w:jc w:val="center"/>
              <w:rPr>
                <w:rFonts w:ascii="宋体" w:hAnsi="宋体"/>
                <w:sz w:val="24"/>
              </w:rPr>
            </w:pPr>
          </w:p>
        </w:tc>
        <w:tc>
          <w:tcPr>
            <w:tcW w:w="2268" w:type="dxa"/>
            <w:vAlign w:val="center"/>
          </w:tcPr>
          <w:p>
            <w:pPr>
              <w:spacing w:line="16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59" w:type="dxa"/>
            <w:vAlign w:val="center"/>
          </w:tcPr>
          <w:p>
            <w:pPr>
              <w:spacing w:line="160" w:lineRule="atLeast"/>
              <w:jc w:val="center"/>
              <w:rPr>
                <w:rFonts w:ascii="宋体" w:hAnsi="宋体"/>
                <w:sz w:val="24"/>
              </w:rPr>
            </w:pPr>
            <w:r>
              <w:rPr>
                <w:rFonts w:hint="eastAsia" w:ascii="宋体" w:hAnsi="宋体"/>
                <w:sz w:val="24"/>
              </w:rPr>
              <w:t>2</w:t>
            </w:r>
          </w:p>
        </w:tc>
        <w:tc>
          <w:tcPr>
            <w:tcW w:w="2342" w:type="dxa"/>
            <w:vAlign w:val="center"/>
          </w:tcPr>
          <w:p>
            <w:pPr>
              <w:spacing w:line="160" w:lineRule="atLeast"/>
              <w:jc w:val="center"/>
              <w:rPr>
                <w:rFonts w:ascii="宋体" w:hAnsi="宋体"/>
                <w:b/>
                <w:sz w:val="24"/>
              </w:rPr>
            </w:pPr>
            <w:r>
              <w:rPr>
                <w:rFonts w:hint="eastAsia" w:ascii="宋体" w:hAnsi="宋体"/>
                <w:b/>
                <w:sz w:val="24"/>
              </w:rPr>
              <w:t>安全生产标准化周期复评</w:t>
            </w:r>
          </w:p>
        </w:tc>
        <w:tc>
          <w:tcPr>
            <w:tcW w:w="915" w:type="dxa"/>
            <w:vAlign w:val="center"/>
          </w:tcPr>
          <w:p>
            <w:pPr>
              <w:spacing w:line="160" w:lineRule="atLeast"/>
              <w:jc w:val="center"/>
              <w:rPr>
                <w:rFonts w:ascii="宋体" w:hAnsi="宋体"/>
                <w:sz w:val="24"/>
              </w:rPr>
            </w:pPr>
            <w:r>
              <w:rPr>
                <w:rFonts w:hint="eastAsia" w:ascii="宋体" w:hAnsi="宋体"/>
                <w:sz w:val="24"/>
              </w:rPr>
              <w:t>1</w:t>
            </w:r>
          </w:p>
        </w:tc>
        <w:tc>
          <w:tcPr>
            <w:tcW w:w="1245" w:type="dxa"/>
            <w:vAlign w:val="center"/>
          </w:tcPr>
          <w:p>
            <w:pPr>
              <w:spacing w:line="160" w:lineRule="atLeast"/>
              <w:jc w:val="center"/>
              <w:rPr>
                <w:rFonts w:ascii="宋体" w:hAnsi="宋体"/>
                <w:sz w:val="24"/>
              </w:rPr>
            </w:pPr>
            <w:r>
              <w:rPr>
                <w:rFonts w:hint="eastAsia" w:ascii="宋体" w:hAnsi="宋体"/>
                <w:sz w:val="24"/>
              </w:rPr>
              <w:t>4</w:t>
            </w:r>
          </w:p>
        </w:tc>
        <w:tc>
          <w:tcPr>
            <w:tcW w:w="1451" w:type="dxa"/>
            <w:vAlign w:val="center"/>
          </w:tcPr>
          <w:p>
            <w:pPr>
              <w:spacing w:line="160" w:lineRule="atLeast"/>
              <w:jc w:val="center"/>
              <w:rPr>
                <w:rFonts w:ascii="宋体" w:hAnsi="宋体"/>
                <w:sz w:val="24"/>
              </w:rPr>
            </w:pPr>
          </w:p>
        </w:tc>
        <w:tc>
          <w:tcPr>
            <w:tcW w:w="2268" w:type="dxa"/>
            <w:vAlign w:val="center"/>
          </w:tcPr>
          <w:p>
            <w:pPr>
              <w:spacing w:line="16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59" w:type="dxa"/>
            <w:vAlign w:val="center"/>
          </w:tcPr>
          <w:p>
            <w:pPr>
              <w:spacing w:line="160" w:lineRule="atLeast"/>
              <w:jc w:val="center"/>
              <w:rPr>
                <w:rFonts w:ascii="宋体" w:hAnsi="宋体"/>
                <w:sz w:val="24"/>
              </w:rPr>
            </w:pPr>
            <w:r>
              <w:rPr>
                <w:rFonts w:hint="eastAsia" w:ascii="宋体" w:hAnsi="宋体"/>
                <w:sz w:val="24"/>
              </w:rPr>
              <w:t>3</w:t>
            </w:r>
          </w:p>
        </w:tc>
        <w:tc>
          <w:tcPr>
            <w:tcW w:w="2342" w:type="dxa"/>
            <w:vAlign w:val="center"/>
          </w:tcPr>
          <w:p>
            <w:pPr>
              <w:spacing w:line="160" w:lineRule="atLeast"/>
              <w:jc w:val="center"/>
              <w:rPr>
                <w:rFonts w:ascii="宋体" w:hAnsi="宋体"/>
                <w:b/>
                <w:sz w:val="24"/>
              </w:rPr>
            </w:pPr>
            <w:r>
              <w:rPr>
                <w:rFonts w:hint="eastAsia" w:ascii="宋体" w:hAnsi="宋体"/>
                <w:b/>
                <w:sz w:val="24"/>
              </w:rPr>
              <w:t>双重预防机制持续改进</w:t>
            </w:r>
          </w:p>
        </w:tc>
        <w:tc>
          <w:tcPr>
            <w:tcW w:w="915" w:type="dxa"/>
            <w:vAlign w:val="center"/>
          </w:tcPr>
          <w:p>
            <w:pPr>
              <w:spacing w:line="160" w:lineRule="atLeast"/>
              <w:jc w:val="center"/>
              <w:rPr>
                <w:rFonts w:ascii="宋体" w:hAnsi="宋体"/>
                <w:sz w:val="24"/>
              </w:rPr>
            </w:pPr>
            <w:r>
              <w:rPr>
                <w:rFonts w:hint="eastAsia" w:ascii="宋体" w:hAnsi="宋体"/>
                <w:sz w:val="24"/>
              </w:rPr>
              <w:t>3</w:t>
            </w:r>
          </w:p>
        </w:tc>
        <w:tc>
          <w:tcPr>
            <w:tcW w:w="1245" w:type="dxa"/>
            <w:vAlign w:val="center"/>
          </w:tcPr>
          <w:p>
            <w:pPr>
              <w:spacing w:line="160" w:lineRule="atLeast"/>
              <w:jc w:val="center"/>
              <w:rPr>
                <w:rFonts w:ascii="宋体" w:hAnsi="宋体"/>
                <w:sz w:val="24"/>
              </w:rPr>
            </w:pPr>
            <w:r>
              <w:rPr>
                <w:rFonts w:hint="eastAsia" w:ascii="宋体" w:hAnsi="宋体"/>
                <w:sz w:val="24"/>
              </w:rPr>
              <w:t>4</w:t>
            </w:r>
          </w:p>
        </w:tc>
        <w:tc>
          <w:tcPr>
            <w:tcW w:w="1451" w:type="dxa"/>
            <w:vAlign w:val="center"/>
          </w:tcPr>
          <w:p>
            <w:pPr>
              <w:spacing w:line="160" w:lineRule="atLeast"/>
              <w:jc w:val="center"/>
              <w:rPr>
                <w:rFonts w:ascii="宋体" w:hAnsi="宋体"/>
                <w:sz w:val="24"/>
              </w:rPr>
            </w:pPr>
          </w:p>
        </w:tc>
        <w:tc>
          <w:tcPr>
            <w:tcW w:w="2268" w:type="dxa"/>
            <w:vAlign w:val="center"/>
          </w:tcPr>
          <w:p>
            <w:pPr>
              <w:spacing w:line="16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trPr>
        <w:tc>
          <w:tcPr>
            <w:tcW w:w="959" w:type="dxa"/>
            <w:vAlign w:val="center"/>
          </w:tcPr>
          <w:p>
            <w:pPr>
              <w:spacing w:line="160" w:lineRule="atLeast"/>
              <w:jc w:val="center"/>
              <w:rPr>
                <w:rFonts w:ascii="宋体" w:hAnsi="宋体"/>
                <w:sz w:val="24"/>
              </w:rPr>
            </w:pPr>
            <w:r>
              <w:rPr>
                <w:rFonts w:hint="eastAsia" w:ascii="宋体" w:hAnsi="宋体"/>
                <w:sz w:val="24"/>
              </w:rPr>
              <w:t>4</w:t>
            </w:r>
          </w:p>
        </w:tc>
        <w:tc>
          <w:tcPr>
            <w:tcW w:w="2342" w:type="dxa"/>
            <w:vAlign w:val="center"/>
          </w:tcPr>
          <w:p>
            <w:pPr>
              <w:spacing w:line="160" w:lineRule="atLeast"/>
              <w:jc w:val="center"/>
              <w:rPr>
                <w:rFonts w:ascii="宋体" w:hAnsi="宋体"/>
                <w:b/>
                <w:sz w:val="24"/>
              </w:rPr>
            </w:pPr>
            <w:r>
              <w:rPr>
                <w:rFonts w:hint="eastAsia" w:ascii="宋体" w:hAnsi="宋体"/>
                <w:b/>
                <w:sz w:val="24"/>
              </w:rPr>
              <w:t>日常咨询</w:t>
            </w:r>
          </w:p>
        </w:tc>
        <w:tc>
          <w:tcPr>
            <w:tcW w:w="915" w:type="dxa"/>
            <w:vAlign w:val="center"/>
          </w:tcPr>
          <w:p>
            <w:pPr>
              <w:spacing w:line="160" w:lineRule="atLeast"/>
              <w:jc w:val="center"/>
              <w:rPr>
                <w:rFonts w:ascii="宋体" w:hAnsi="宋体"/>
                <w:sz w:val="24"/>
              </w:rPr>
            </w:pPr>
            <w:r>
              <w:rPr>
                <w:rFonts w:hint="eastAsia" w:ascii="宋体" w:hAnsi="宋体"/>
                <w:sz w:val="24"/>
              </w:rPr>
              <w:t>3</w:t>
            </w:r>
          </w:p>
        </w:tc>
        <w:tc>
          <w:tcPr>
            <w:tcW w:w="1245" w:type="dxa"/>
            <w:vAlign w:val="center"/>
          </w:tcPr>
          <w:p>
            <w:pPr>
              <w:spacing w:line="160" w:lineRule="atLeast"/>
              <w:jc w:val="center"/>
              <w:rPr>
                <w:rFonts w:ascii="宋体" w:hAnsi="宋体"/>
                <w:sz w:val="24"/>
              </w:rPr>
            </w:pPr>
            <w:r>
              <w:rPr>
                <w:rFonts w:hint="eastAsia" w:ascii="宋体" w:hAnsi="宋体"/>
                <w:sz w:val="24"/>
              </w:rPr>
              <w:t>1</w:t>
            </w:r>
          </w:p>
        </w:tc>
        <w:tc>
          <w:tcPr>
            <w:tcW w:w="1451" w:type="dxa"/>
            <w:vAlign w:val="center"/>
          </w:tcPr>
          <w:p>
            <w:pPr>
              <w:spacing w:line="160" w:lineRule="atLeast"/>
              <w:jc w:val="center"/>
              <w:rPr>
                <w:rFonts w:ascii="宋体" w:hAnsi="宋体"/>
                <w:sz w:val="24"/>
              </w:rPr>
            </w:pPr>
          </w:p>
        </w:tc>
        <w:tc>
          <w:tcPr>
            <w:tcW w:w="2268" w:type="dxa"/>
            <w:vAlign w:val="center"/>
          </w:tcPr>
          <w:p>
            <w:pPr>
              <w:spacing w:line="16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461" w:type="dxa"/>
            <w:gridSpan w:val="4"/>
            <w:vAlign w:val="center"/>
          </w:tcPr>
          <w:p>
            <w:pPr>
              <w:spacing w:line="160" w:lineRule="atLeast"/>
              <w:jc w:val="center"/>
              <w:rPr>
                <w:rFonts w:ascii="宋体" w:hAnsi="宋体"/>
                <w:sz w:val="24"/>
              </w:rPr>
            </w:pPr>
            <w:r>
              <w:rPr>
                <w:rFonts w:hint="eastAsia" w:ascii="宋体" w:hAnsi="宋体"/>
                <w:sz w:val="24"/>
              </w:rPr>
              <w:t>合计金额（元）</w:t>
            </w:r>
          </w:p>
        </w:tc>
        <w:tc>
          <w:tcPr>
            <w:tcW w:w="3719" w:type="dxa"/>
            <w:gridSpan w:val="2"/>
            <w:vAlign w:val="center"/>
          </w:tcPr>
          <w:p>
            <w:pPr>
              <w:spacing w:line="160" w:lineRule="atLeast"/>
              <w:jc w:val="cente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180" w:type="dxa"/>
            <w:gridSpan w:val="6"/>
          </w:tcPr>
          <w:p>
            <w:pPr>
              <w:spacing w:line="360" w:lineRule="auto"/>
              <w:jc w:val="left"/>
              <w:rPr>
                <w:rFonts w:ascii="宋体" w:hAnsi="宋体"/>
                <w:sz w:val="24"/>
              </w:rPr>
            </w:pPr>
            <w:r>
              <w:rPr>
                <w:rFonts w:hint="eastAsia" w:ascii="宋体" w:hAnsi="宋体"/>
                <w:sz w:val="24"/>
              </w:rPr>
              <w:t>“小计金额”之和=“合计金额”，</w:t>
            </w:r>
          </w:p>
          <w:p>
            <w:pPr>
              <w:spacing w:line="360" w:lineRule="auto"/>
              <w:jc w:val="left"/>
              <w:rPr>
                <w:rFonts w:ascii="宋体" w:hAnsi="宋体"/>
                <w:sz w:val="24"/>
              </w:rPr>
            </w:pPr>
            <w:r>
              <w:rPr>
                <w:rFonts w:hint="eastAsia" w:ascii="宋体" w:hAnsi="宋体"/>
                <w:sz w:val="24"/>
              </w:rPr>
              <w:t>“合计金额”=比选申请人比选申请报价。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180" w:type="dxa"/>
            <w:gridSpan w:val="6"/>
            <w:tcBorders>
              <w:right w:val="single" w:color="auto" w:sz="4" w:space="0"/>
            </w:tcBorders>
            <w:vAlign w:val="center"/>
          </w:tcPr>
          <w:p>
            <w:pPr>
              <w:spacing w:line="160" w:lineRule="atLeast"/>
              <w:rPr>
                <w:rFonts w:ascii="宋体" w:hAnsi="宋体"/>
                <w:sz w:val="24"/>
              </w:rPr>
            </w:pPr>
            <w:r>
              <w:rPr>
                <w:rFonts w:hint="eastAsia" w:ascii="宋体" w:hAnsi="宋体"/>
                <w:sz w:val="24"/>
              </w:rPr>
              <w:t>比选申请报价（大写）：</w:t>
            </w:r>
            <w:r>
              <w:rPr>
                <w:rFonts w:hint="eastAsia" w:ascii="宋体" w:hAnsi="宋体"/>
                <w:sz w:val="24"/>
                <w:u w:val="single"/>
              </w:rPr>
              <w:t xml:space="preserve">                                       </w:t>
            </w:r>
            <w:r>
              <w:rPr>
                <w:rFonts w:hint="eastAsia" w:ascii="宋体" w:hAnsi="宋体"/>
                <w:sz w:val="24"/>
              </w:rPr>
              <w:t>（元）</w:t>
            </w:r>
          </w:p>
        </w:tc>
      </w:tr>
    </w:tbl>
    <w:p>
      <w:pPr>
        <w:pStyle w:val="15"/>
        <w:spacing w:line="440" w:lineRule="exact"/>
        <w:jc w:val="center"/>
        <w:rPr>
          <w:rFonts w:ascii="Times New Roman" w:hAnsi="Times New Roman"/>
          <w:b/>
        </w:rPr>
      </w:pPr>
      <w:r>
        <w:rPr>
          <w:rFonts w:hint="eastAsia" w:ascii="Times New Roman" w:hAnsi="Times New Roman"/>
          <w:b/>
        </w:rPr>
        <w:t xml:space="preserve">                </w:t>
      </w:r>
    </w:p>
    <w:p>
      <w:pPr>
        <w:pStyle w:val="15"/>
        <w:spacing w:line="440" w:lineRule="exact"/>
        <w:jc w:val="center"/>
        <w:rPr>
          <w:rFonts w:ascii="Times New Roman" w:hAnsi="Times New Roman"/>
          <w:b/>
        </w:rPr>
      </w:pPr>
      <w:r>
        <w:rPr>
          <w:rFonts w:hint="eastAsia" w:ascii="Times New Roman" w:hAnsi="Times New Roman"/>
          <w:b/>
        </w:rPr>
        <w:t xml:space="preserve">      </w:t>
      </w:r>
    </w:p>
    <w:p>
      <w:pPr>
        <w:wordWrap w:val="0"/>
        <w:spacing w:line="360" w:lineRule="auto"/>
        <w:jc w:val="right"/>
        <w:rPr>
          <w:szCs w:val="21"/>
        </w:rPr>
      </w:pPr>
      <w:r>
        <w:rPr>
          <w:rFonts w:hint="eastAsia"/>
          <w:b/>
        </w:rPr>
        <w:t xml:space="preserve">              </w:t>
      </w:r>
      <w:r>
        <w:rPr>
          <w:szCs w:val="21"/>
        </w:rPr>
        <w:t>比选申请人：</w:t>
      </w:r>
      <w:r>
        <w:rPr>
          <w:szCs w:val="21"/>
          <w:u w:val="single"/>
        </w:rPr>
        <w:t>（全称）</w:t>
      </w:r>
      <w:r>
        <w:rPr>
          <w:rFonts w:hint="eastAsia"/>
          <w:szCs w:val="21"/>
          <w:u w:val="single"/>
        </w:rPr>
        <w:t xml:space="preserve">               </w:t>
      </w:r>
      <w:r>
        <w:rPr>
          <w:szCs w:val="21"/>
        </w:rPr>
        <w:t>（盖单位章）</w:t>
      </w:r>
    </w:p>
    <w:p>
      <w:pPr>
        <w:pStyle w:val="15"/>
        <w:ind w:firstLine="482"/>
        <w:jc w:val="center"/>
        <w:rPr>
          <w:rFonts w:ascii="黑体" w:hAnsi="Times New Roman" w:eastAsia="黑体"/>
          <w:sz w:val="32"/>
        </w:rPr>
      </w:pPr>
      <w:r>
        <w:rPr>
          <w:rFonts w:hint="eastAsia" w:ascii="Times New Roman" w:hAnsi="Times New Roman"/>
        </w:rPr>
        <w:t xml:space="preserve">                   </w:t>
      </w:r>
      <w:r>
        <w:rPr>
          <w:rFonts w:hint="eastAsia" w:hAnsi="宋体"/>
        </w:rPr>
        <w:t>法定代表人或其委托代理人签字：</w:t>
      </w:r>
      <w:r>
        <w:rPr>
          <w:rFonts w:hint="eastAsia" w:hAnsi="宋体"/>
          <w:u w:val="single"/>
        </w:rPr>
        <w:t xml:space="preserve">             </w:t>
      </w:r>
    </w:p>
    <w:p>
      <w:pPr>
        <w:pStyle w:val="15"/>
        <w:spacing w:line="440" w:lineRule="exact"/>
        <w:jc w:val="center"/>
        <w:rPr>
          <w:rFonts w:ascii="仿宋_GB2312" w:hAnsi="宋体" w:eastAsia="仿宋_GB2312"/>
        </w:rPr>
      </w:pPr>
    </w:p>
    <w:p>
      <w:pPr>
        <w:pStyle w:val="5"/>
        <w:jc w:val="center"/>
        <w:rPr>
          <w:sz w:val="36"/>
          <w:szCs w:val="36"/>
        </w:rPr>
      </w:pPr>
    </w:p>
    <w:p>
      <w:pPr>
        <w:pStyle w:val="5"/>
        <w:rPr>
          <w:sz w:val="36"/>
          <w:szCs w:val="36"/>
        </w:rPr>
      </w:pPr>
    </w:p>
    <w:p>
      <w:pPr>
        <w:pStyle w:val="5"/>
        <w:rPr>
          <w:sz w:val="36"/>
          <w:szCs w:val="36"/>
        </w:rPr>
      </w:pPr>
    </w:p>
    <w:p>
      <w:pPr>
        <w:pStyle w:val="5"/>
      </w:pPr>
      <w:r>
        <w:rPr>
          <w:rFonts w:hint="eastAsia"/>
          <w:sz w:val="36"/>
          <w:szCs w:val="36"/>
        </w:rPr>
        <w:t>第五章  协议条款及格式</w:t>
      </w:r>
    </w:p>
    <w:p/>
    <w:p/>
    <w:p/>
    <w:p/>
    <w:p/>
    <w:p/>
    <w:p>
      <w:pPr>
        <w:ind w:firstLine="435"/>
        <w:jc w:val="center"/>
        <w:rPr>
          <w:rFonts w:ascii="仿宋" w:hAnsi="仿宋" w:eastAsia="仿宋"/>
        </w:rPr>
      </w:pPr>
      <w:r>
        <w:rPr>
          <w:rFonts w:hint="eastAsia" w:ascii="宋体" w:hAnsi="宋体"/>
          <w:b/>
          <w:bCs/>
          <w:kern w:val="44"/>
          <w:sz w:val="44"/>
          <w:szCs w:val="44"/>
        </w:rPr>
        <w:t>四川成渝高速公路股份有限公司成渝分公司周期性安全咨询服务协议</w:t>
      </w:r>
    </w:p>
    <w:p>
      <w:pPr>
        <w:ind w:firstLine="435"/>
        <w:jc w:val="center"/>
      </w:pPr>
    </w:p>
    <w:p>
      <w:pPr>
        <w:ind w:firstLine="435"/>
        <w:jc w:val="center"/>
      </w:pPr>
    </w:p>
    <w:p>
      <w:pPr>
        <w:ind w:firstLine="435"/>
        <w:jc w:val="center"/>
      </w:pPr>
    </w:p>
    <w:p>
      <w:pPr>
        <w:ind w:firstLine="435"/>
        <w:jc w:val="center"/>
      </w:pPr>
    </w:p>
    <w:p>
      <w:pPr>
        <w:ind w:firstLine="1920" w:firstLineChars="600"/>
        <w:jc w:val="left"/>
        <w:rPr>
          <w:sz w:val="32"/>
          <w:szCs w:val="32"/>
        </w:rPr>
      </w:pPr>
      <w:r>
        <w:rPr>
          <w:rFonts w:hint="eastAsia"/>
          <w:sz w:val="32"/>
          <w:szCs w:val="32"/>
        </w:rPr>
        <w:t xml:space="preserve">   </w:t>
      </w:r>
    </w:p>
    <w:p>
      <w:pPr>
        <w:rPr>
          <w:sz w:val="32"/>
          <w:szCs w:val="32"/>
          <w:u w:val="single"/>
        </w:rPr>
      </w:pPr>
    </w:p>
    <w:p>
      <w:pPr>
        <w:rPr>
          <w:b/>
          <w:sz w:val="30"/>
          <w:szCs w:val="30"/>
        </w:rPr>
      </w:pPr>
      <w:r>
        <w:rPr>
          <w:sz w:val="32"/>
          <w:szCs w:val="32"/>
        </w:rPr>
        <mc:AlternateContent>
          <mc:Choice Requires="wps">
            <w:drawing>
              <wp:anchor distT="0" distB="0" distL="114300" distR="114300" simplePos="0" relativeHeight="251662336" behindDoc="0" locked="0" layoutInCell="1" allowOverlap="1">
                <wp:simplePos x="0" y="0"/>
                <wp:positionH relativeFrom="column">
                  <wp:posOffset>1728470</wp:posOffset>
                </wp:positionH>
                <wp:positionV relativeFrom="paragraph">
                  <wp:posOffset>374650</wp:posOffset>
                </wp:positionV>
                <wp:extent cx="3774440" cy="0"/>
                <wp:effectExtent l="0" t="0" r="16510" b="19050"/>
                <wp:wrapNone/>
                <wp:docPr id="5" name="Line 32"/>
                <wp:cNvGraphicFramePr/>
                <a:graphic xmlns:a="http://schemas.openxmlformats.org/drawingml/2006/main">
                  <a:graphicData uri="http://schemas.microsoft.com/office/word/2010/wordprocessingShape">
                    <wps:wsp>
                      <wps:cNvCnPr>
                        <a:cxnSpLocks noChangeShapeType="1"/>
                      </wps:cNvCnPr>
                      <wps:spPr bwMode="auto">
                        <a:xfrm>
                          <a:off x="0" y="0"/>
                          <a:ext cx="3774440" cy="0"/>
                        </a:xfrm>
                        <a:prstGeom prst="line">
                          <a:avLst/>
                        </a:prstGeom>
                        <a:noFill/>
                        <a:ln w="9525">
                          <a:solidFill>
                            <a:srgbClr val="000000"/>
                          </a:solidFill>
                          <a:round/>
                        </a:ln>
                      </wps:spPr>
                      <wps:bodyPr/>
                    </wps:wsp>
                  </a:graphicData>
                </a:graphic>
              </wp:anchor>
            </w:drawing>
          </mc:Choice>
          <mc:Fallback>
            <w:pict>
              <v:line id="Line 32" o:spid="_x0000_s1026" o:spt="20" style="position:absolute;left:0pt;margin-left:136.1pt;margin-top:29.5pt;height:0pt;width:297.2pt;z-index:251662336;mso-width-relative:page;mso-height-relative:page;" filled="f" stroked="t" coordsize="21600,21600" o:gfxdata="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BQv3hvWAAAACQEAAA8AAAAAAAAAAQAgAAAAIgAAAGRycy9k&#10;b3ducmV2LnhtbFBLAQIUABQAAAAIAIdO4kBe0lSEywEAAKADAAAOAAAAAAAAAAEAIAAAACUBAABk&#10;cnMvZTJvRG9jLnhtbFBLBQYAAAAABgAGAFkBAABiBQAAAAA=&#10;">
                <v:fill on="f" focussize="0,0"/>
                <v:stroke color="#000000" joinstyle="round"/>
                <v:imagedata o:title=""/>
                <o:lock v:ext="edit" aspectratio="f"/>
              </v:line>
            </w:pict>
          </mc:Fallback>
        </mc:AlternateContent>
      </w:r>
      <w:r>
        <w:rPr>
          <w:rFonts w:hint="eastAsia"/>
          <w:b/>
          <w:sz w:val="30"/>
          <w:szCs w:val="30"/>
        </w:rPr>
        <w:t>委托方（甲方）：</w:t>
      </w:r>
      <w:r>
        <w:rPr>
          <w:b/>
          <w:sz w:val="30"/>
          <w:szCs w:val="30"/>
        </w:rPr>
        <w:t xml:space="preserve">   </w:t>
      </w:r>
      <w:r>
        <w:rPr>
          <w:rFonts w:hint="eastAsia" w:ascii="宋体" w:hAnsi="宋体"/>
          <w:b/>
          <w:sz w:val="30"/>
          <w:szCs w:val="30"/>
        </w:rPr>
        <w:t>四川成渝高速公路股份有限公司成渝分公司</w:t>
      </w:r>
    </w:p>
    <w:p>
      <w:pPr>
        <w:rPr>
          <w:b/>
          <w:sz w:val="32"/>
          <w:szCs w:val="32"/>
        </w:rPr>
      </w:pPr>
    </w:p>
    <w:p>
      <w:pPr>
        <w:rPr>
          <w:b/>
          <w:sz w:val="32"/>
          <w:szCs w:val="32"/>
        </w:rPr>
      </w:pPr>
    </w:p>
    <w:p>
      <w:pPr>
        <w:rPr>
          <w:b/>
          <w:sz w:val="32"/>
          <w:szCs w:val="32"/>
        </w:rPr>
      </w:pPr>
    </w:p>
    <w:p>
      <w:pPr>
        <w:rPr>
          <w:b/>
          <w:sz w:val="30"/>
          <w:szCs w:val="30"/>
        </w:rPr>
      </w:pPr>
      <w:r>
        <w:rPr>
          <w:sz w:val="32"/>
          <w:szCs w:val="32"/>
        </w:rPr>
        <mc:AlternateContent>
          <mc:Choice Requires="wps">
            <w:drawing>
              <wp:anchor distT="0" distB="0" distL="114300" distR="114300" simplePos="0" relativeHeight="251661312" behindDoc="0" locked="0" layoutInCell="1" allowOverlap="1">
                <wp:simplePos x="0" y="0"/>
                <wp:positionH relativeFrom="column">
                  <wp:posOffset>1728470</wp:posOffset>
                </wp:positionH>
                <wp:positionV relativeFrom="paragraph">
                  <wp:posOffset>392430</wp:posOffset>
                </wp:positionV>
                <wp:extent cx="3774440" cy="0"/>
                <wp:effectExtent l="0" t="0" r="16510" b="19050"/>
                <wp:wrapNone/>
                <wp:docPr id="4" name="Line 31"/>
                <wp:cNvGraphicFramePr/>
                <a:graphic xmlns:a="http://schemas.openxmlformats.org/drawingml/2006/main">
                  <a:graphicData uri="http://schemas.microsoft.com/office/word/2010/wordprocessingShape">
                    <wps:wsp>
                      <wps:cNvCnPr>
                        <a:cxnSpLocks noChangeShapeType="1"/>
                      </wps:cNvCnPr>
                      <wps:spPr bwMode="auto">
                        <a:xfrm>
                          <a:off x="0" y="0"/>
                          <a:ext cx="3774440" cy="0"/>
                        </a:xfrm>
                        <a:prstGeom prst="line">
                          <a:avLst/>
                        </a:prstGeom>
                        <a:noFill/>
                        <a:ln w="9525">
                          <a:solidFill>
                            <a:srgbClr val="000000"/>
                          </a:solidFill>
                          <a:round/>
                        </a:ln>
                      </wps:spPr>
                      <wps:bodyPr/>
                    </wps:wsp>
                  </a:graphicData>
                </a:graphic>
              </wp:anchor>
            </w:drawing>
          </mc:Choice>
          <mc:Fallback>
            <w:pict>
              <v:line id="Line 31" o:spid="_x0000_s1026" o:spt="20" style="position:absolute;left:0pt;margin-left:136.1pt;margin-top:30.9pt;height:0pt;width:297.2pt;z-index:251661312;mso-width-relative:page;mso-height-relative:page;" filled="f" stroked="t" coordsize="21600,21600" o:gfxdata="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3elQV1QAAAAkBAAAPAAAAAAAAAAEAIAAAACIAAABkcnMvZG93&#10;bnJldi54bWxQSwECFAAUAAAACACHTuJATSeRXsoBAACgAwAADgAAAAAAAAABACAAAAAkAQAAZHJz&#10;L2Uyb0RvYy54bWxQSwUGAAAAAAYABgBZAQAAYAUAAAAA&#10;">
                <v:fill on="f" focussize="0,0"/>
                <v:stroke color="#000000" joinstyle="round"/>
                <v:imagedata o:title=""/>
                <o:lock v:ext="edit" aspectratio="f"/>
              </v:line>
            </w:pict>
          </mc:Fallback>
        </mc:AlternateContent>
      </w:r>
      <w:r>
        <w:rPr>
          <w:rFonts w:hint="eastAsia"/>
          <w:b/>
          <w:sz w:val="32"/>
          <w:szCs w:val="32"/>
        </w:rPr>
        <w:t>受托方</w:t>
      </w:r>
      <w:r>
        <w:rPr>
          <w:rFonts w:hint="eastAsia"/>
          <w:b/>
          <w:sz w:val="30"/>
          <w:szCs w:val="30"/>
        </w:rPr>
        <w:t>（乙方）：</w:t>
      </w:r>
      <w:r>
        <w:rPr>
          <w:b/>
          <w:sz w:val="30"/>
          <w:szCs w:val="30"/>
        </w:rPr>
        <w:t xml:space="preserve">    </w:t>
      </w:r>
    </w:p>
    <w:p>
      <w:pPr>
        <w:rPr>
          <w:b/>
          <w:sz w:val="30"/>
          <w:szCs w:val="30"/>
        </w:rPr>
      </w:pPr>
    </w:p>
    <w:p>
      <w:pPr>
        <w:rPr>
          <w:b/>
          <w:sz w:val="30"/>
          <w:szCs w:val="30"/>
        </w:rPr>
      </w:pPr>
    </w:p>
    <w:p>
      <w:pPr>
        <w:jc w:val="center"/>
        <w:rPr>
          <w:b/>
          <w:sz w:val="32"/>
          <w:szCs w:val="32"/>
        </w:rPr>
      </w:pPr>
    </w:p>
    <w:p>
      <w:pPr>
        <w:jc w:val="center"/>
        <w:rPr>
          <w:b/>
          <w:sz w:val="32"/>
          <w:szCs w:val="32"/>
        </w:rPr>
      </w:pPr>
      <w:r>
        <w:rPr>
          <w:rFonts w:hint="eastAsia"/>
          <w:b/>
          <w:sz w:val="32"/>
          <w:szCs w:val="32"/>
        </w:rPr>
        <w:t>2023年</w:t>
      </w:r>
      <w:r>
        <w:rPr>
          <w:rFonts w:hint="eastAsia"/>
          <w:b/>
          <w:sz w:val="32"/>
          <w:szCs w:val="32"/>
          <w:u w:val="single"/>
        </w:rPr>
        <w:t xml:space="preserve">   </w:t>
      </w:r>
      <w:r>
        <w:rPr>
          <w:rFonts w:hint="eastAsia"/>
          <w:b/>
          <w:sz w:val="32"/>
          <w:szCs w:val="32"/>
        </w:rPr>
        <w:t>月</w:t>
      </w:r>
    </w:p>
    <w:p>
      <w:pPr>
        <w:pStyle w:val="4"/>
        <w:spacing w:before="0" w:after="0" w:line="360" w:lineRule="auto"/>
        <w:jc w:val="center"/>
        <w:rPr>
          <w:rFonts w:ascii="宋体" w:hAnsi="宋体"/>
        </w:rPr>
      </w:pPr>
    </w:p>
    <w:p/>
    <w:p>
      <w:pPr>
        <w:pStyle w:val="4"/>
        <w:tabs>
          <w:tab w:val="left" w:pos="920"/>
          <w:tab w:val="center" w:pos="4410"/>
        </w:tabs>
        <w:adjustRightInd w:val="0"/>
        <w:snapToGrid w:val="0"/>
        <w:spacing w:before="0" w:after="0" w:line="360" w:lineRule="auto"/>
        <w:jc w:val="left"/>
        <w:rPr>
          <w:b w:val="0"/>
          <w:bCs w:val="0"/>
          <w:kern w:val="2"/>
          <w:sz w:val="21"/>
          <w:szCs w:val="22"/>
        </w:rPr>
      </w:pPr>
    </w:p>
    <w:p>
      <w:pPr>
        <w:pStyle w:val="4"/>
        <w:tabs>
          <w:tab w:val="left" w:pos="920"/>
          <w:tab w:val="center" w:pos="4410"/>
        </w:tabs>
        <w:adjustRightInd w:val="0"/>
        <w:snapToGrid w:val="0"/>
        <w:spacing w:before="0" w:after="0" w:line="360" w:lineRule="auto"/>
        <w:jc w:val="left"/>
        <w:rPr>
          <w:rFonts w:ascii="宋体" w:hAnsi="宋体"/>
        </w:rPr>
      </w:pPr>
    </w:p>
    <w:p>
      <w:pPr>
        <w:pStyle w:val="4"/>
        <w:tabs>
          <w:tab w:val="left" w:pos="920"/>
          <w:tab w:val="center" w:pos="4410"/>
        </w:tabs>
        <w:adjustRightInd w:val="0"/>
        <w:snapToGrid w:val="0"/>
        <w:spacing w:before="0" w:after="0" w:line="360" w:lineRule="auto"/>
        <w:jc w:val="left"/>
        <w:rPr>
          <w:rFonts w:ascii="宋体" w:hAnsi="宋体"/>
        </w:rPr>
      </w:pPr>
      <w:r>
        <w:rPr>
          <w:rFonts w:hint="eastAsia" w:ascii="宋体" w:hAnsi="宋体"/>
        </w:rPr>
        <w:t>四川成渝高速公路股份有限公司成渝分公司</w:t>
      </w:r>
    </w:p>
    <w:p>
      <w:pPr>
        <w:pStyle w:val="4"/>
        <w:tabs>
          <w:tab w:val="left" w:pos="920"/>
          <w:tab w:val="center" w:pos="4410"/>
        </w:tabs>
        <w:adjustRightInd w:val="0"/>
        <w:snapToGrid w:val="0"/>
        <w:spacing w:before="0" w:after="0" w:line="360" w:lineRule="auto"/>
        <w:jc w:val="center"/>
      </w:pPr>
      <w:r>
        <w:rPr>
          <w:rFonts w:hint="eastAsia" w:ascii="宋体" w:hAnsi="宋体"/>
        </w:rPr>
        <w:t>周期性安全咨询服务协议</w:t>
      </w:r>
    </w:p>
    <w:p/>
    <w:p>
      <w:pPr>
        <w:ind w:firstLine="600" w:firstLineChars="200"/>
        <w:rPr>
          <w:rFonts w:ascii="宋体" w:hAnsi="宋体"/>
          <w:sz w:val="30"/>
          <w:szCs w:val="30"/>
        </w:rPr>
      </w:pPr>
      <w:r>
        <w:rPr>
          <w:rFonts w:hint="eastAsia" w:ascii="宋体" w:hAnsi="宋体"/>
          <w:sz w:val="30"/>
          <w:szCs w:val="30"/>
        </w:rPr>
        <w:t>依据《中华人民共和国民法典》的规定，甲乙双方就周期性安全咨询服务项目，经友好协商，达成一致，签订本协议。</w:t>
      </w:r>
    </w:p>
    <w:p>
      <w:pPr>
        <w:ind w:firstLine="602" w:firstLineChars="200"/>
        <w:rPr>
          <w:rFonts w:ascii="宋体" w:hAnsi="宋体"/>
          <w:b/>
          <w:sz w:val="30"/>
          <w:szCs w:val="30"/>
        </w:rPr>
      </w:pPr>
      <w:r>
        <w:rPr>
          <w:rFonts w:hint="eastAsia" w:ascii="宋体" w:hAnsi="宋体"/>
          <w:b/>
          <w:sz w:val="30"/>
          <w:szCs w:val="30"/>
        </w:rPr>
        <w:t>一、服务内容</w:t>
      </w:r>
    </w:p>
    <w:p>
      <w:pPr>
        <w:ind w:firstLine="600" w:firstLineChars="200"/>
        <w:rPr>
          <w:rFonts w:ascii="宋体" w:hAnsi="宋体"/>
          <w:sz w:val="30"/>
          <w:szCs w:val="30"/>
        </w:rPr>
      </w:pPr>
      <w:r>
        <w:rPr>
          <w:rFonts w:hint="eastAsia" w:ascii="宋体" w:hAnsi="宋体"/>
          <w:sz w:val="30"/>
          <w:szCs w:val="30"/>
        </w:rPr>
        <w:t>□安全生产年度标准化年度自评达标。</w:t>
      </w:r>
    </w:p>
    <w:p>
      <w:pPr>
        <w:ind w:firstLine="600" w:firstLineChars="200"/>
        <w:rPr>
          <w:rFonts w:ascii="宋体" w:hAnsi="宋体"/>
          <w:sz w:val="30"/>
          <w:szCs w:val="30"/>
        </w:rPr>
      </w:pPr>
      <w:r>
        <w:rPr>
          <w:rFonts w:hint="eastAsia" w:ascii="宋体" w:hAnsi="宋体"/>
          <w:sz w:val="30"/>
          <w:szCs w:val="30"/>
        </w:rPr>
        <w:t>□安全生产标准化周期复评达标。</w:t>
      </w:r>
    </w:p>
    <w:p>
      <w:pPr>
        <w:ind w:firstLine="600" w:firstLineChars="200"/>
        <w:rPr>
          <w:rFonts w:ascii="宋体" w:hAnsi="宋体"/>
          <w:sz w:val="30"/>
          <w:szCs w:val="30"/>
        </w:rPr>
      </w:pPr>
      <w:r>
        <w:rPr>
          <w:rFonts w:hint="eastAsia" w:ascii="宋体" w:hAnsi="宋体"/>
          <w:sz w:val="30"/>
          <w:szCs w:val="30"/>
        </w:rPr>
        <w:t>□</w:t>
      </w:r>
      <w:r>
        <w:rPr>
          <w:rFonts w:hint="eastAsia"/>
        </w:rPr>
        <w:t xml:space="preserve"> </w:t>
      </w:r>
      <w:r>
        <w:rPr>
          <w:rFonts w:hint="eastAsia" w:ascii="宋体" w:hAnsi="宋体"/>
          <w:sz w:val="30"/>
          <w:szCs w:val="30"/>
        </w:rPr>
        <w:t>双重预防机制持续改进。</w:t>
      </w:r>
    </w:p>
    <w:p>
      <w:pPr>
        <w:ind w:firstLine="600" w:firstLineChars="200"/>
        <w:rPr>
          <w:rFonts w:ascii="宋体" w:hAnsi="宋体"/>
          <w:sz w:val="30"/>
          <w:szCs w:val="30"/>
        </w:rPr>
      </w:pPr>
      <w:r>
        <w:rPr>
          <w:rFonts w:hint="eastAsia" w:ascii="宋体" w:hAnsi="宋体"/>
          <w:sz w:val="30"/>
          <w:szCs w:val="30"/>
        </w:rPr>
        <w:t>□日常咨询。</w:t>
      </w:r>
    </w:p>
    <w:p>
      <w:pPr>
        <w:ind w:firstLine="600" w:firstLineChars="200"/>
        <w:rPr>
          <w:rFonts w:ascii="宋体" w:hAnsi="宋体"/>
          <w:sz w:val="30"/>
          <w:szCs w:val="30"/>
        </w:rPr>
      </w:pPr>
      <w:r>
        <w:rPr>
          <w:rFonts w:hint="eastAsia" w:ascii="宋体" w:hAnsi="宋体"/>
          <w:sz w:val="30"/>
          <w:szCs w:val="30"/>
        </w:rPr>
        <w:t>□安全管理体系咨询与专家评审；</w:t>
      </w:r>
    </w:p>
    <w:p>
      <w:pPr>
        <w:ind w:firstLine="600" w:firstLineChars="200"/>
        <w:rPr>
          <w:rFonts w:ascii="宋体" w:hAnsi="宋体"/>
          <w:sz w:val="30"/>
          <w:szCs w:val="30"/>
        </w:rPr>
      </w:pPr>
      <w:r>
        <w:rPr>
          <w:rFonts w:hint="eastAsia" w:ascii="宋体" w:hAnsi="宋体"/>
          <w:sz w:val="30"/>
          <w:szCs w:val="30"/>
        </w:rPr>
        <w:t>□应急管理体系咨询与专家评审；</w:t>
      </w:r>
    </w:p>
    <w:p>
      <w:pPr>
        <w:ind w:firstLine="600" w:firstLineChars="200"/>
        <w:rPr>
          <w:rFonts w:ascii="宋体" w:hAnsi="宋体"/>
          <w:sz w:val="30"/>
          <w:szCs w:val="30"/>
        </w:rPr>
      </w:pPr>
      <w:r>
        <w:rPr>
          <w:rFonts w:hint="eastAsia" w:ascii="宋体" w:hAnsi="宋体"/>
          <w:sz w:val="30"/>
          <w:szCs w:val="30"/>
        </w:rPr>
        <w:t>□安全生产合规管理咨询。</w:t>
      </w:r>
    </w:p>
    <w:p>
      <w:pPr>
        <w:ind w:firstLine="600" w:firstLineChars="200"/>
        <w:rPr>
          <w:rFonts w:ascii="宋体" w:hAnsi="宋体"/>
          <w:sz w:val="30"/>
          <w:szCs w:val="30"/>
        </w:rPr>
      </w:pPr>
      <w:r>
        <w:rPr>
          <w:rFonts w:hint="eastAsia" w:ascii="宋体" w:hAnsi="宋体"/>
          <w:sz w:val="30"/>
          <w:szCs w:val="30"/>
        </w:rPr>
        <w:t>以上服务内容成果详见招标文件及投标文件承诺。</w:t>
      </w:r>
    </w:p>
    <w:p>
      <w:pPr>
        <w:rPr>
          <w:rFonts w:ascii="宋体" w:hAnsi="宋体"/>
          <w:b/>
          <w:sz w:val="30"/>
          <w:szCs w:val="30"/>
        </w:rPr>
      </w:pPr>
      <w:r>
        <w:rPr>
          <w:rFonts w:hint="eastAsia" w:ascii="宋体" w:hAnsi="宋体"/>
          <w:sz w:val="30"/>
          <w:szCs w:val="30"/>
        </w:rPr>
        <w:t xml:space="preserve">    </w:t>
      </w:r>
      <w:r>
        <w:rPr>
          <w:rFonts w:hint="eastAsia" w:ascii="宋体" w:hAnsi="宋体"/>
          <w:b/>
          <w:sz w:val="30"/>
          <w:szCs w:val="30"/>
        </w:rPr>
        <w:t>二、协议有效期</w:t>
      </w:r>
    </w:p>
    <w:p>
      <w:pPr>
        <w:ind w:firstLine="600" w:firstLineChars="200"/>
        <w:rPr>
          <w:rFonts w:ascii="宋体" w:hAnsi="宋体"/>
          <w:sz w:val="30"/>
          <w:szCs w:val="30"/>
        </w:rPr>
      </w:pPr>
      <w:r>
        <w:rPr>
          <w:rFonts w:hint="eastAsia" w:ascii="宋体" w:hAnsi="宋体"/>
          <w:sz w:val="30"/>
          <w:szCs w:val="30"/>
        </w:rPr>
        <w:t>本协议有效期为</w:t>
      </w:r>
      <w:r>
        <w:rPr>
          <w:rFonts w:hint="eastAsia" w:ascii="宋体" w:hAnsi="宋体"/>
          <w:sz w:val="30"/>
          <w:szCs w:val="30"/>
          <w:u w:val="single"/>
        </w:rPr>
        <w:t>1个</w:t>
      </w:r>
      <w:r>
        <w:rPr>
          <w:rFonts w:hint="eastAsia" w:ascii="宋体" w:hAnsi="宋体"/>
          <w:sz w:val="30"/>
          <w:szCs w:val="30"/>
        </w:rPr>
        <w:t>自然年（</w:t>
      </w:r>
      <w:r>
        <w:rPr>
          <w:rFonts w:hint="eastAsia" w:ascii="宋体" w:hAnsi="宋体"/>
          <w:sz w:val="30"/>
          <w:szCs w:val="30"/>
          <w:u w:val="single"/>
        </w:rPr>
        <w:t>自协议签订之日起算）</w:t>
      </w:r>
      <w:r>
        <w:rPr>
          <w:rFonts w:hint="eastAsia" w:ascii="宋体" w:hAnsi="宋体"/>
          <w:sz w:val="30"/>
          <w:szCs w:val="30"/>
        </w:rPr>
        <w:t>。发生不可抗力因素除外。</w:t>
      </w:r>
    </w:p>
    <w:p>
      <w:pPr>
        <w:spacing w:line="600" w:lineRule="exact"/>
        <w:rPr>
          <w:rFonts w:ascii="宋体" w:hAnsi="宋体"/>
          <w:b/>
          <w:sz w:val="30"/>
          <w:szCs w:val="30"/>
        </w:rPr>
      </w:pPr>
      <w:r>
        <w:rPr>
          <w:rFonts w:hint="eastAsia" w:ascii="仿宋_GB2312" w:hAnsi="仿宋_GB2312" w:eastAsia="仿宋_GB2312" w:cs="仿宋_GB2312"/>
          <w:sz w:val="28"/>
          <w:szCs w:val="24"/>
        </w:rPr>
        <w:t xml:space="preserve">   </w:t>
      </w:r>
      <w:r>
        <w:rPr>
          <w:rFonts w:hint="eastAsia" w:ascii="宋体" w:hAnsi="宋体"/>
          <w:b/>
          <w:sz w:val="30"/>
          <w:szCs w:val="30"/>
        </w:rPr>
        <w:t xml:space="preserve"> 三、费用及支付方式</w:t>
      </w:r>
    </w:p>
    <w:p>
      <w:pPr>
        <w:ind w:firstLine="600" w:firstLineChars="200"/>
        <w:rPr>
          <w:rFonts w:ascii="宋体" w:hAnsi="宋体"/>
          <w:sz w:val="30"/>
          <w:szCs w:val="30"/>
        </w:rPr>
      </w:pPr>
      <w:r>
        <w:rPr>
          <w:rFonts w:ascii="宋体" w:hAnsi="宋体"/>
          <w:sz w:val="30"/>
          <w:szCs w:val="30"/>
        </w:rPr>
        <w:t>服务费</w:t>
      </w:r>
      <w:r>
        <w:rPr>
          <w:rFonts w:hint="eastAsia" w:ascii="宋体" w:hAnsi="宋体"/>
          <w:sz w:val="30"/>
          <w:szCs w:val="30"/>
        </w:rPr>
        <w:t>用</w:t>
      </w:r>
      <w:r>
        <w:rPr>
          <w:rFonts w:ascii="宋体" w:hAnsi="宋体"/>
          <w:sz w:val="30"/>
          <w:szCs w:val="30"/>
        </w:rPr>
        <w:t>共</w:t>
      </w:r>
      <w:r>
        <w:rPr>
          <w:rFonts w:hint="eastAsia" w:ascii="仿宋" w:hAnsi="仿宋" w:eastAsia="仿宋" w:cs="仿宋"/>
          <w:sz w:val="30"/>
          <w:szCs w:val="30"/>
          <w:u w:val="single"/>
        </w:rPr>
        <w:t xml:space="preserve">      </w:t>
      </w:r>
      <w:r>
        <w:rPr>
          <w:rFonts w:hint="eastAsia" w:ascii="宋体" w:hAnsi="宋体"/>
          <w:sz w:val="30"/>
          <w:szCs w:val="30"/>
        </w:rPr>
        <w:t>元(人民币大写</w:t>
      </w:r>
      <w:r>
        <w:rPr>
          <w:rFonts w:hint="eastAsia" w:ascii="宋体" w:hAnsi="宋体"/>
          <w:sz w:val="30"/>
          <w:szCs w:val="30"/>
          <w:u w:val="single"/>
        </w:rPr>
        <w:t xml:space="preserve">              整</w:t>
      </w:r>
      <w:r>
        <w:rPr>
          <w:rFonts w:ascii="宋体" w:hAnsi="宋体"/>
          <w:sz w:val="30"/>
          <w:szCs w:val="30"/>
        </w:rPr>
        <w:t>)</w:t>
      </w:r>
      <w:r>
        <w:rPr>
          <w:rFonts w:hint="eastAsia" w:ascii="宋体" w:hAnsi="宋体"/>
          <w:sz w:val="30"/>
          <w:szCs w:val="30"/>
        </w:rPr>
        <w:t>。协议签署完成后，乙方形成年度初步成果并提交甲方审核同意后10个工作日内，甲方向乙方支付本年度费用的60%；年度任务全部完成后10个工作日内，甲方支付乙方本年度费用的40%，直至全额支付完毕。</w:t>
      </w:r>
    </w:p>
    <w:p>
      <w:pPr>
        <w:ind w:firstLine="600" w:firstLineChars="200"/>
        <w:rPr>
          <w:rFonts w:ascii="宋体" w:hAnsi="宋体"/>
          <w:sz w:val="30"/>
          <w:szCs w:val="30"/>
        </w:rPr>
      </w:pPr>
      <w:r>
        <w:rPr>
          <w:rFonts w:hint="eastAsia" w:ascii="宋体" w:hAnsi="宋体"/>
          <w:sz w:val="30"/>
          <w:szCs w:val="30"/>
        </w:rPr>
        <w:t>甲方每次向乙方付款前，乙方均应先向甲方提供符合甲方要求的合法合规发票，如若乙方未提供，甲方有权拒绝付款，且乙方不承担任何违约责任。</w:t>
      </w:r>
    </w:p>
    <w:p>
      <w:pPr>
        <w:ind w:firstLine="602" w:firstLineChars="200"/>
        <w:rPr>
          <w:rFonts w:ascii="宋体" w:hAnsi="宋体"/>
          <w:b/>
          <w:sz w:val="30"/>
          <w:szCs w:val="30"/>
        </w:rPr>
      </w:pPr>
      <w:r>
        <w:rPr>
          <w:rFonts w:hint="eastAsia" w:ascii="宋体" w:hAnsi="宋体"/>
          <w:b/>
          <w:sz w:val="30"/>
          <w:szCs w:val="30"/>
        </w:rPr>
        <w:t>四、权利与义务</w:t>
      </w:r>
    </w:p>
    <w:p>
      <w:pPr>
        <w:ind w:firstLine="600" w:firstLineChars="200"/>
        <w:rPr>
          <w:rFonts w:ascii="宋体" w:hAnsi="宋体"/>
          <w:sz w:val="30"/>
          <w:szCs w:val="30"/>
        </w:rPr>
      </w:pPr>
      <w:r>
        <w:rPr>
          <w:rFonts w:hint="eastAsia" w:ascii="宋体" w:hAnsi="宋体"/>
          <w:sz w:val="30"/>
          <w:szCs w:val="30"/>
        </w:rPr>
        <w:t>（一）甲方：</w:t>
      </w:r>
    </w:p>
    <w:p>
      <w:pPr>
        <w:ind w:firstLine="600" w:firstLineChars="200"/>
        <w:rPr>
          <w:rFonts w:ascii="宋体" w:hAnsi="宋体"/>
          <w:sz w:val="30"/>
          <w:szCs w:val="30"/>
        </w:rPr>
      </w:pPr>
      <w:r>
        <w:rPr>
          <w:rFonts w:hint="eastAsia" w:ascii="宋体" w:hAnsi="宋体"/>
          <w:sz w:val="30"/>
          <w:szCs w:val="30"/>
        </w:rPr>
        <w:t>1.甲方有权按照协议约定的“服务内容——成果”对乙方服务质量进行审核，对未达服务质量的违约行为进行约谈、扣款、解约等处理。</w:t>
      </w:r>
    </w:p>
    <w:p>
      <w:pPr>
        <w:ind w:firstLine="600" w:firstLineChars="200"/>
        <w:rPr>
          <w:rFonts w:ascii="宋体" w:hAnsi="宋体"/>
          <w:sz w:val="30"/>
          <w:szCs w:val="30"/>
        </w:rPr>
      </w:pPr>
      <w:r>
        <w:rPr>
          <w:rFonts w:hint="eastAsia" w:ascii="宋体" w:hAnsi="宋体"/>
          <w:sz w:val="30"/>
          <w:szCs w:val="30"/>
        </w:rPr>
        <w:t>2.甲方有义务配合乙方做好本职内的安全生产基础工作，并就乙方提出的安全生产问题进行回应。</w:t>
      </w:r>
    </w:p>
    <w:p>
      <w:pPr>
        <w:ind w:firstLine="600" w:firstLineChars="200"/>
        <w:rPr>
          <w:rFonts w:ascii="宋体" w:hAnsi="宋体"/>
          <w:sz w:val="30"/>
          <w:szCs w:val="30"/>
        </w:rPr>
      </w:pPr>
      <w:r>
        <w:rPr>
          <w:rFonts w:hint="eastAsia" w:ascii="宋体" w:hAnsi="宋体"/>
          <w:sz w:val="30"/>
          <w:szCs w:val="30"/>
        </w:rPr>
        <w:t>3.甲方有义务按本协议第三款支付甲方费用。</w:t>
      </w:r>
    </w:p>
    <w:p>
      <w:pPr>
        <w:ind w:firstLine="600" w:firstLineChars="200"/>
        <w:rPr>
          <w:rFonts w:ascii="宋体" w:hAnsi="宋体"/>
          <w:sz w:val="30"/>
          <w:szCs w:val="30"/>
        </w:rPr>
      </w:pPr>
      <w:r>
        <w:rPr>
          <w:rFonts w:hint="eastAsia" w:ascii="宋体" w:hAnsi="宋体"/>
          <w:sz w:val="30"/>
          <w:szCs w:val="30"/>
        </w:rPr>
        <w:t>（二）乙方：</w:t>
      </w:r>
    </w:p>
    <w:p>
      <w:pPr>
        <w:ind w:firstLine="600" w:firstLineChars="200"/>
        <w:rPr>
          <w:rFonts w:ascii="宋体" w:hAnsi="宋体"/>
          <w:sz w:val="30"/>
          <w:szCs w:val="30"/>
        </w:rPr>
      </w:pPr>
      <w:r>
        <w:rPr>
          <w:rFonts w:hint="eastAsia" w:ascii="宋体" w:hAnsi="宋体"/>
          <w:sz w:val="30"/>
          <w:szCs w:val="30"/>
        </w:rPr>
        <w:t>3.乙方有权利就甲方安全生产存在的问题提出书面整改意见和方案。</w:t>
      </w:r>
    </w:p>
    <w:p>
      <w:pPr>
        <w:spacing w:line="600" w:lineRule="exact"/>
        <w:rPr>
          <w:rFonts w:ascii="宋体" w:hAnsi="宋体"/>
          <w:sz w:val="30"/>
          <w:szCs w:val="30"/>
        </w:rPr>
      </w:pPr>
      <w:r>
        <w:rPr>
          <w:rFonts w:hint="eastAsia" w:ascii="宋体" w:hAnsi="宋体"/>
          <w:sz w:val="30"/>
          <w:szCs w:val="30"/>
        </w:rPr>
        <w:t xml:space="preserve">    4.乙方有义务按照招标文件条款和投标文件承诺为甲方提供优质的服务。</w:t>
      </w:r>
    </w:p>
    <w:p>
      <w:pPr>
        <w:spacing w:line="600" w:lineRule="exact"/>
        <w:rPr>
          <w:rFonts w:ascii="宋体" w:hAnsi="宋体"/>
          <w:sz w:val="30"/>
          <w:szCs w:val="30"/>
        </w:rPr>
      </w:pPr>
      <w:r>
        <w:rPr>
          <w:rFonts w:hint="eastAsia" w:ascii="宋体" w:hAnsi="宋体"/>
          <w:sz w:val="30"/>
          <w:szCs w:val="30"/>
        </w:rPr>
        <w:t xml:space="preserve">    5.乙方有义务对获取的甲方生产经营相关数据、信息等资料保密。未经甲方同意，不得将甲方生产经营相关数据、信息等资料以任何方式泄露给第三方，否则应承担甲方因此所遭受的所有损失。乙方的保密义务不因本协议终止而终止</w:t>
      </w:r>
    </w:p>
    <w:p>
      <w:pPr>
        <w:spacing w:line="600" w:lineRule="exact"/>
        <w:rPr>
          <w:rFonts w:ascii="宋体" w:hAnsi="宋体"/>
          <w:sz w:val="30"/>
          <w:szCs w:val="30"/>
        </w:rPr>
      </w:pPr>
      <w:r>
        <w:rPr>
          <w:rFonts w:hint="eastAsia" w:ascii="宋体" w:hAnsi="宋体"/>
          <w:sz w:val="30"/>
          <w:szCs w:val="30"/>
        </w:rPr>
        <w:t xml:space="preserve">    </w:t>
      </w:r>
      <w:r>
        <w:rPr>
          <w:rFonts w:hint="eastAsia" w:ascii="宋体" w:hAnsi="宋体"/>
          <w:b/>
          <w:sz w:val="30"/>
          <w:szCs w:val="30"/>
        </w:rPr>
        <w:t>五、违约责任</w:t>
      </w:r>
    </w:p>
    <w:p>
      <w:pPr>
        <w:spacing w:line="600" w:lineRule="exact"/>
        <w:rPr>
          <w:rFonts w:ascii="宋体" w:hAnsi="宋体"/>
          <w:sz w:val="30"/>
          <w:szCs w:val="30"/>
        </w:rPr>
      </w:pPr>
      <w:r>
        <w:rPr>
          <w:rFonts w:hint="eastAsia" w:ascii="仿宋_GB2312" w:hAnsi="仿宋_GB2312" w:eastAsia="仿宋_GB2312" w:cs="仿宋_GB2312"/>
          <w:sz w:val="28"/>
          <w:szCs w:val="24"/>
        </w:rPr>
        <w:t xml:space="preserve">    </w:t>
      </w:r>
      <w:r>
        <w:rPr>
          <w:rFonts w:hint="eastAsia" w:ascii="宋体" w:hAnsi="宋体"/>
          <w:sz w:val="30"/>
          <w:szCs w:val="30"/>
        </w:rPr>
        <w:t>6.甲方未按本协议第三款按期支付乙方费用，乙方可请求甲方按相关法律规定支付滞纳金。</w:t>
      </w:r>
    </w:p>
    <w:p>
      <w:pPr>
        <w:spacing w:line="600" w:lineRule="exact"/>
        <w:rPr>
          <w:rFonts w:ascii="宋体" w:hAnsi="宋体"/>
          <w:sz w:val="30"/>
          <w:szCs w:val="30"/>
        </w:rPr>
      </w:pPr>
      <w:r>
        <w:rPr>
          <w:rFonts w:hint="eastAsia" w:ascii="宋体" w:hAnsi="宋体"/>
          <w:sz w:val="30"/>
          <w:szCs w:val="30"/>
        </w:rPr>
        <w:t xml:space="preserve">    7.甲方未经协商无故单方面不履行协议，乙方已收取的费用不予退还。</w:t>
      </w:r>
    </w:p>
    <w:p>
      <w:pPr>
        <w:spacing w:line="600" w:lineRule="exact"/>
        <w:rPr>
          <w:rFonts w:ascii="宋体" w:hAnsi="宋体"/>
          <w:sz w:val="30"/>
          <w:szCs w:val="30"/>
        </w:rPr>
      </w:pPr>
      <w:r>
        <w:rPr>
          <w:rFonts w:hint="eastAsia" w:ascii="宋体" w:hAnsi="宋体"/>
          <w:sz w:val="30"/>
          <w:szCs w:val="30"/>
        </w:rPr>
        <w:t xml:space="preserve">    8.甲方对乙方提出的书面整改意见和方案不予回应，导致乙方无法兑现本协议承诺的，乙方应书面函告甲方，并声明不承担相关违约责任。</w:t>
      </w:r>
    </w:p>
    <w:p>
      <w:pPr>
        <w:spacing w:line="600" w:lineRule="exact"/>
        <w:rPr>
          <w:rFonts w:ascii="宋体" w:hAnsi="宋体"/>
          <w:sz w:val="30"/>
          <w:szCs w:val="30"/>
        </w:rPr>
      </w:pPr>
      <w:r>
        <w:rPr>
          <w:rFonts w:hint="eastAsia" w:ascii="宋体" w:hAnsi="宋体"/>
          <w:sz w:val="30"/>
          <w:szCs w:val="30"/>
        </w:rPr>
        <w:t xml:space="preserve">   9.</w:t>
      </w:r>
      <w:r>
        <w:rPr>
          <w:rFonts w:hint="eastAsia"/>
        </w:rPr>
        <w:t xml:space="preserve"> </w:t>
      </w:r>
      <w:r>
        <w:rPr>
          <w:rFonts w:hint="eastAsia" w:ascii="宋体" w:hAnsi="宋体"/>
          <w:sz w:val="30"/>
          <w:szCs w:val="30"/>
        </w:rPr>
        <w:t>乙方提供的服务不能兑现本协议承诺的成果，甲方可通过书面函告乙方，并暂不支付当期费用，直至乙方兑现本协议承诺。因乙方未兑现本协议承诺导致甲方损失的，乙方应承担损失责任，甲方可单方面终止协议，并依法主张民事权益。</w:t>
      </w:r>
    </w:p>
    <w:p>
      <w:pPr>
        <w:spacing w:line="600" w:lineRule="exact"/>
        <w:rPr>
          <w:rFonts w:ascii="宋体" w:hAnsi="宋体"/>
          <w:sz w:val="30"/>
          <w:szCs w:val="30"/>
        </w:rPr>
      </w:pPr>
      <w:r>
        <w:rPr>
          <w:rFonts w:hint="eastAsia" w:ascii="宋体" w:hAnsi="宋体"/>
          <w:sz w:val="30"/>
          <w:szCs w:val="30"/>
        </w:rPr>
        <w:t xml:space="preserve">    10.乙方未经协商故单方面不履行协议，乙方应退还甲方已经支付的全部费用，并应按照服务费总价的5%向甲方支付违约金。</w:t>
      </w:r>
    </w:p>
    <w:p>
      <w:pPr>
        <w:spacing w:line="600" w:lineRule="exact"/>
        <w:rPr>
          <w:rFonts w:ascii="宋体" w:hAnsi="宋体"/>
          <w:sz w:val="30"/>
          <w:szCs w:val="30"/>
        </w:rPr>
      </w:pPr>
      <w:r>
        <w:rPr>
          <w:rFonts w:hint="eastAsia" w:ascii="宋体" w:hAnsi="宋体"/>
          <w:sz w:val="30"/>
          <w:szCs w:val="30"/>
        </w:rPr>
        <w:t xml:space="preserve">    11.不可预见的自然因素（天气、地震等）的变化，造成乙方无法按时履行协议约定时，乙方应预先告知甲方并顺延时间。</w:t>
      </w:r>
    </w:p>
    <w:p>
      <w:pPr>
        <w:spacing w:line="600" w:lineRule="exact"/>
        <w:rPr>
          <w:rFonts w:ascii="宋体" w:hAnsi="宋体"/>
          <w:b/>
          <w:sz w:val="30"/>
          <w:szCs w:val="30"/>
        </w:rPr>
      </w:pPr>
      <w:r>
        <w:rPr>
          <w:rFonts w:hint="eastAsia" w:ascii="仿宋_GB2312" w:hAnsi="仿宋_GB2312" w:eastAsia="仿宋_GB2312" w:cs="仿宋_GB2312"/>
          <w:sz w:val="28"/>
          <w:szCs w:val="24"/>
        </w:rPr>
        <w:t xml:space="preserve">  </w:t>
      </w:r>
      <w:r>
        <w:rPr>
          <w:rFonts w:hint="eastAsia" w:ascii="宋体" w:hAnsi="宋体"/>
          <w:sz w:val="30"/>
          <w:szCs w:val="30"/>
        </w:rPr>
        <w:t xml:space="preserve"> </w:t>
      </w:r>
      <w:r>
        <w:rPr>
          <w:rFonts w:hint="eastAsia" w:ascii="宋体" w:hAnsi="宋体"/>
          <w:b/>
          <w:sz w:val="30"/>
          <w:szCs w:val="30"/>
        </w:rPr>
        <w:t>六、其他约定</w:t>
      </w:r>
    </w:p>
    <w:p>
      <w:pPr>
        <w:spacing w:line="600" w:lineRule="exact"/>
        <w:rPr>
          <w:rFonts w:ascii="宋体" w:hAnsi="宋体"/>
          <w:sz w:val="30"/>
          <w:szCs w:val="30"/>
        </w:rPr>
      </w:pPr>
      <w:r>
        <w:rPr>
          <w:rFonts w:hint="eastAsia" w:ascii="宋体" w:hAnsi="宋体"/>
          <w:sz w:val="30"/>
          <w:szCs w:val="30"/>
        </w:rPr>
        <w:t xml:space="preserve">    12.本协议一式五份，其中甲方持三份，乙方持两份，具有同等法律效力。</w:t>
      </w:r>
    </w:p>
    <w:p>
      <w:pPr>
        <w:spacing w:line="600" w:lineRule="exact"/>
        <w:rPr>
          <w:rFonts w:ascii="宋体" w:hAnsi="宋体"/>
          <w:sz w:val="30"/>
          <w:szCs w:val="30"/>
        </w:rPr>
      </w:pPr>
      <w:r>
        <w:rPr>
          <w:rFonts w:hint="eastAsia" w:ascii="宋体" w:hAnsi="宋体"/>
          <w:sz w:val="30"/>
          <w:szCs w:val="30"/>
        </w:rPr>
        <w:t xml:space="preserve">    13.本协议自签字之日起生效。</w:t>
      </w:r>
    </w:p>
    <w:p>
      <w:pPr>
        <w:spacing w:line="600" w:lineRule="exact"/>
        <w:rPr>
          <w:rFonts w:ascii="宋体" w:hAnsi="宋体"/>
          <w:sz w:val="30"/>
          <w:szCs w:val="30"/>
        </w:rPr>
      </w:pPr>
      <w:r>
        <w:rPr>
          <w:rFonts w:hint="eastAsia" w:ascii="宋体" w:hAnsi="宋体"/>
          <w:sz w:val="30"/>
          <w:szCs w:val="30"/>
        </w:rPr>
        <w:t xml:space="preserve">    14.本协议履行过程中发生分歧的，各方应友好协商解决；协商不成的，各方均可向甲方所在地有管辖权的人民法院起诉。</w:t>
      </w:r>
    </w:p>
    <w:p>
      <w:pPr>
        <w:spacing w:line="600" w:lineRule="exact"/>
        <w:rPr>
          <w:rFonts w:ascii="宋体" w:hAnsi="宋体"/>
          <w:sz w:val="30"/>
          <w:szCs w:val="30"/>
        </w:rPr>
      </w:pPr>
    </w:p>
    <w:p>
      <w:pPr>
        <w:spacing w:line="600" w:lineRule="exact"/>
        <w:rPr>
          <w:rFonts w:ascii="宋体" w:hAnsi="宋体"/>
          <w:sz w:val="30"/>
          <w:szCs w:val="30"/>
        </w:rPr>
      </w:pPr>
      <w:r>
        <w:rPr>
          <w:rFonts w:hint="eastAsia" w:ascii="宋体" w:hAnsi="宋体"/>
          <w:sz w:val="30"/>
          <w:szCs w:val="30"/>
        </w:rPr>
        <w:t>甲方（委托方）：（公章）</w:t>
      </w:r>
      <w:r>
        <w:rPr>
          <w:rFonts w:hint="eastAsia" w:ascii="宋体" w:hAnsi="宋体"/>
          <w:sz w:val="30"/>
          <w:szCs w:val="30"/>
        </w:rPr>
        <w:tab/>
      </w:r>
      <w:r>
        <w:rPr>
          <w:rFonts w:hint="eastAsia" w:ascii="宋体" w:hAnsi="宋体"/>
          <w:sz w:val="30"/>
          <w:szCs w:val="30"/>
        </w:rPr>
        <w:tab/>
      </w:r>
      <w:r>
        <w:rPr>
          <w:rFonts w:hint="eastAsia" w:ascii="宋体" w:hAnsi="宋体"/>
          <w:sz w:val="30"/>
          <w:szCs w:val="30"/>
        </w:rPr>
        <w:t xml:space="preserve">       乙方（受托方）：（公章）</w:t>
      </w:r>
    </w:p>
    <w:p>
      <w:pPr>
        <w:spacing w:line="600" w:lineRule="exact"/>
        <w:rPr>
          <w:rFonts w:ascii="宋体" w:hAnsi="宋体"/>
          <w:sz w:val="30"/>
          <w:szCs w:val="30"/>
        </w:rPr>
      </w:pPr>
      <w:r>
        <w:rPr>
          <w:rFonts w:hint="eastAsia" w:ascii="宋体" w:hAnsi="宋体"/>
          <w:sz w:val="30"/>
          <w:szCs w:val="30"/>
        </w:rPr>
        <w:t xml:space="preserve">甲方代表：    </w:t>
      </w:r>
      <w:r>
        <w:rPr>
          <w:rFonts w:hint="eastAsia" w:ascii="宋体" w:hAnsi="宋体"/>
          <w:sz w:val="30"/>
          <w:szCs w:val="30"/>
        </w:rPr>
        <w:tab/>
      </w:r>
      <w:r>
        <w:rPr>
          <w:rFonts w:hint="eastAsia" w:ascii="宋体" w:hAnsi="宋体"/>
          <w:sz w:val="30"/>
          <w:szCs w:val="30"/>
        </w:rPr>
        <w:tab/>
      </w:r>
      <w:r>
        <w:rPr>
          <w:rFonts w:hint="eastAsia" w:ascii="宋体" w:hAnsi="宋体"/>
          <w:sz w:val="30"/>
          <w:szCs w:val="30"/>
        </w:rPr>
        <w:t xml:space="preserve">               乙方代表：</w:t>
      </w:r>
    </w:p>
    <w:p>
      <w:pPr>
        <w:spacing w:line="600" w:lineRule="exact"/>
        <w:rPr>
          <w:rFonts w:ascii="宋体" w:hAnsi="宋体"/>
          <w:sz w:val="30"/>
          <w:szCs w:val="30"/>
        </w:rPr>
      </w:pPr>
      <w:r>
        <w:rPr>
          <w:rFonts w:hint="eastAsia" w:ascii="宋体" w:hAnsi="宋体"/>
          <w:sz w:val="30"/>
          <w:szCs w:val="30"/>
        </w:rPr>
        <w:tab/>
      </w:r>
      <w:r>
        <w:rPr>
          <w:rFonts w:hint="eastAsia" w:ascii="宋体" w:hAnsi="宋体"/>
          <w:sz w:val="30"/>
          <w:szCs w:val="30"/>
        </w:rPr>
        <w:tab/>
      </w:r>
      <w:r>
        <w:rPr>
          <w:rFonts w:hint="eastAsia" w:ascii="宋体" w:hAnsi="宋体"/>
          <w:sz w:val="30"/>
          <w:szCs w:val="30"/>
        </w:rPr>
        <w:t xml:space="preserve">                              开户银行：</w:t>
      </w:r>
      <w:r>
        <w:rPr>
          <w:rFonts w:hint="eastAsia" w:ascii="宋体" w:hAnsi="宋体"/>
          <w:sz w:val="30"/>
          <w:szCs w:val="30"/>
        </w:rPr>
        <w:tab/>
      </w:r>
      <w:r>
        <w:rPr>
          <w:rFonts w:hint="eastAsia" w:ascii="宋体" w:hAnsi="宋体"/>
          <w:sz w:val="30"/>
          <w:szCs w:val="30"/>
        </w:rPr>
        <w:tab/>
      </w:r>
    </w:p>
    <w:p>
      <w:pPr>
        <w:spacing w:line="600" w:lineRule="exact"/>
        <w:rPr>
          <w:rFonts w:ascii="宋体" w:hAnsi="宋体"/>
          <w:sz w:val="30"/>
          <w:szCs w:val="30"/>
        </w:rPr>
      </w:pPr>
      <w:r>
        <w:rPr>
          <w:rFonts w:hint="eastAsia" w:ascii="宋体" w:hAnsi="宋体"/>
          <w:sz w:val="30"/>
          <w:szCs w:val="30"/>
        </w:rPr>
        <w:t xml:space="preserve">                                   开户名称：</w:t>
      </w:r>
      <w:r>
        <w:rPr>
          <w:rFonts w:hint="eastAsia" w:ascii="宋体" w:hAnsi="宋体"/>
          <w:sz w:val="30"/>
          <w:szCs w:val="30"/>
        </w:rPr>
        <w:tab/>
      </w:r>
      <w:r>
        <w:rPr>
          <w:rFonts w:hint="eastAsia" w:ascii="宋体" w:hAnsi="宋体"/>
          <w:sz w:val="30"/>
          <w:szCs w:val="30"/>
        </w:rPr>
        <w:tab/>
      </w:r>
    </w:p>
    <w:p>
      <w:pPr>
        <w:spacing w:line="600" w:lineRule="exact"/>
        <w:rPr>
          <w:rFonts w:ascii="仿宋_GB2312" w:hAnsi="仿宋_GB2312" w:eastAsia="仿宋_GB2312" w:cs="仿宋_GB2312"/>
          <w:sz w:val="28"/>
          <w:szCs w:val="24"/>
        </w:rPr>
      </w:pPr>
      <w:r>
        <w:rPr>
          <w:rFonts w:hint="eastAsia" w:ascii="宋体" w:hAnsi="宋体"/>
          <w:sz w:val="30"/>
          <w:szCs w:val="30"/>
        </w:rPr>
        <w:t xml:space="preserve">                                   帐    号：</w:t>
      </w:r>
      <w:r>
        <w:rPr>
          <w:rFonts w:hint="eastAsia" w:ascii="仿宋_GB2312" w:hAnsi="仿宋_GB2312" w:eastAsia="仿宋_GB2312" w:cs="仿宋_GB2312"/>
          <w:sz w:val="28"/>
          <w:szCs w:val="24"/>
        </w:rPr>
        <w:t xml:space="preserve"> </w:t>
      </w:r>
    </w:p>
    <w:p>
      <w:pPr>
        <w:spacing w:line="600" w:lineRule="exact"/>
        <w:rPr>
          <w:rFonts w:ascii="仿宋_GB2312" w:hAnsi="仿宋_GB2312" w:eastAsia="仿宋_GB2312" w:cs="仿宋_GB2312"/>
          <w:sz w:val="28"/>
          <w:szCs w:val="24"/>
        </w:rPr>
      </w:pPr>
    </w:p>
    <w:p/>
    <w:sectPr>
      <w:pgSz w:w="11911" w:h="16838"/>
      <w:pgMar w:top="1474" w:right="1474" w:bottom="1474" w:left="1474" w:header="799" w:footer="918"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swiss"/>
    <w:pitch w:val="default"/>
    <w:sig w:usb0="00000000" w:usb1="00000000" w:usb2="00000009" w:usb3="00000000" w:csb0="000001F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mc:AlternateContent>
        <mc:Choice Requires="wps">
          <w:drawing>
            <wp:anchor distT="0" distB="0" distL="114300" distR="114300" simplePos="0" relativeHeight="251659264" behindDoc="1" locked="0" layoutInCell="1" allowOverlap="1">
              <wp:simplePos x="0" y="0"/>
              <wp:positionH relativeFrom="page">
                <wp:posOffset>3696335</wp:posOffset>
              </wp:positionH>
              <wp:positionV relativeFrom="page">
                <wp:posOffset>9969500</wp:posOffset>
              </wp:positionV>
              <wp:extent cx="170180" cy="139700"/>
              <wp:effectExtent l="0" t="0" r="1270" b="12700"/>
              <wp:wrapNone/>
              <wp:docPr id="3" name="文本框 3"/>
              <wp:cNvGraphicFramePr/>
              <a:graphic xmlns:a="http://schemas.openxmlformats.org/drawingml/2006/main">
                <a:graphicData uri="http://schemas.microsoft.com/office/word/2010/wordprocessingShape">
                  <wps:wsp>
                    <wps:cNvSpPr txBox="1"/>
                    <wps:spPr>
                      <a:xfrm>
                        <a:off x="0" y="0"/>
                        <a:ext cx="170180" cy="139700"/>
                      </a:xfrm>
                      <a:prstGeom prst="rect">
                        <a:avLst/>
                      </a:prstGeom>
                      <a:noFill/>
                      <a:ln>
                        <a:noFill/>
                      </a:ln>
                      <a:effectLst/>
                    </wps:spPr>
                    <wps:txbx>
                      <w:txbxContent>
                        <w:p>
                          <w:pPr>
                            <w:spacing w:line="220" w:lineRule="exact"/>
                            <w:ind w:left="45"/>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291.05pt;margin-top:785pt;height:11pt;width:13.4pt;mso-position-horizontal-relative:page;mso-position-vertical-relative:page;z-index:-251657216;mso-width-relative:page;mso-height-relative:page;" filled="f" stroked="f" coordsize="21600,21600" o:gfxdata="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ZEXytoAAAANAQAADwAAAAAAAAABACAAAAAiAAAAZHJzL2Rvd25yZXYueG1s&#10;UEsBAhQAFAAAAAgAh07iQF/4yV29AQAAfwMAAA4AAAAAAAAAAQAgAAAAKQEAAGRycy9lMm9Eb2Mu&#10;eG1sUEsFBgAAAAAGAAYAWQEAAFgFAAAAAA==&#10;">
              <v:fill on="f" focussize="0,0"/>
              <v:stroke on="f"/>
              <v:imagedata o:title=""/>
              <o:lock v:ext="edit" aspectratio="f"/>
              <v:textbox inset="0mm,0mm,0mm,0mm">
                <w:txbxContent>
                  <w:p>
                    <w:pPr>
                      <w:spacing w:line="220" w:lineRule="exact"/>
                      <w:ind w:left="45"/>
                      <w:jc w:val="left"/>
                      <w:rPr>
                        <w:sz w:val="1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11430" b="635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CUiA3ONgIAAGAEAAAOAAAAAAAAAAEAIAAAACABAABkcnMvZTJvRG9jLnht&#10;bFBLBQYAAAAABgAGAFkBAADIBQ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w:t>
                    </w:r>
                    <w:r>
                      <w:rPr>
                        <w:rFonts w:hint="eastAsia"/>
                        <w:sz w:val="18"/>
                      </w:rPr>
                      <w:fldChar w:fldCharType="end"/>
                    </w:r>
                  </w:p>
                </w:txbxContent>
              </v:textbox>
            </v:shape>
          </w:pict>
        </mc:Fallback>
      </mc:AlternateContent>
    </w:r>
    <w:r>
      <mc:AlternateContent>
        <mc:Choice Requires="wps">
          <w:drawing>
            <wp:anchor distT="0" distB="0" distL="114300" distR="114300" simplePos="0" relativeHeight="251660288" behindDoc="1" locked="0" layoutInCell="1" allowOverlap="1">
              <wp:simplePos x="0" y="0"/>
              <wp:positionH relativeFrom="page">
                <wp:posOffset>3696335</wp:posOffset>
              </wp:positionH>
              <wp:positionV relativeFrom="page">
                <wp:posOffset>9969500</wp:posOffset>
              </wp:positionV>
              <wp:extent cx="170180" cy="139700"/>
              <wp:effectExtent l="0" t="0" r="1270" b="12700"/>
              <wp:wrapNone/>
              <wp:docPr id="1" name="文本框 1"/>
              <wp:cNvGraphicFramePr/>
              <a:graphic xmlns:a="http://schemas.openxmlformats.org/drawingml/2006/main">
                <a:graphicData uri="http://schemas.microsoft.com/office/word/2010/wordprocessingShape">
                  <wps:wsp>
                    <wps:cNvSpPr txBox="1"/>
                    <wps:spPr>
                      <a:xfrm>
                        <a:off x="0" y="0"/>
                        <a:ext cx="170180" cy="139700"/>
                      </a:xfrm>
                      <a:prstGeom prst="rect">
                        <a:avLst/>
                      </a:prstGeom>
                      <a:noFill/>
                      <a:ln>
                        <a:noFill/>
                      </a:ln>
                      <a:effectLst/>
                    </wps:spPr>
                    <wps:txbx>
                      <w:txbxContent>
                        <w:p>
                          <w:pPr>
                            <w:spacing w:line="220" w:lineRule="exact"/>
                            <w:ind w:left="45"/>
                            <w:jc w:val="left"/>
                            <w:rPr>
                              <w:sz w:val="18"/>
                            </w:rPr>
                          </w:pPr>
                        </w:p>
                      </w:txbxContent>
                    </wps:txbx>
                    <wps:bodyPr lIns="0" tIns="0" rIns="0" bIns="0" upright="1"/>
                  </wps:wsp>
                </a:graphicData>
              </a:graphic>
            </wp:anchor>
          </w:drawing>
        </mc:Choice>
        <mc:Fallback>
          <w:pict>
            <v:shape id="_x0000_s1026" o:spid="_x0000_s1026" o:spt="202" type="#_x0000_t202" style="position:absolute;left:0pt;margin-left:291.05pt;margin-top:785pt;height:11pt;width:13.4pt;mso-position-horizontal-relative:page;mso-position-vertical-relative:page;z-index:-251656192;mso-width-relative:page;mso-height-relative:page;" filled="f" stroked="f" coordsize="21600,21600" o:gfxdata="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WZEXytoAAAANAQAADwAAAAAAAAABACAAAAAiAAAAZHJzL2Rvd25yZXYueG1s&#10;UEsBAhQAFAAAAAgAh07iQObh2Qm9AQAAfwMAAA4AAAAAAAAAAQAgAAAAKQEAAGRycy9lMm9Eb2Mu&#10;eG1sUEsFBgAAAAAGAAYAWQEAAFgFAAAAAA==&#10;">
              <v:fill on="f" focussize="0,0"/>
              <v:stroke on="f"/>
              <v:imagedata o:title=""/>
              <o:lock v:ext="edit" aspectratio="f"/>
              <v:textbox inset="0mm,0mm,0mm,0mm">
                <w:txbxContent>
                  <w:p>
                    <w:pPr>
                      <w:spacing w:line="220" w:lineRule="exact"/>
                      <w:ind w:left="45"/>
                      <w:jc w:val="left"/>
                      <w:rPr>
                        <w:sz w:val="18"/>
                      </w:rPr>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14" w:lineRule="auto"/>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50335F"/>
    <w:multiLevelType w:val="singleLevel"/>
    <w:tmpl w:val="B150335F"/>
    <w:lvl w:ilvl="0" w:tentative="0">
      <w:start w:val="1"/>
      <w:numFmt w:val="decimal"/>
      <w:suff w:val="nothing"/>
      <w:lvlText w:val="（%1）"/>
      <w:lvlJc w:val="left"/>
      <w:rPr>
        <w:rFonts w:hint="default"/>
        <w:b w:val="0"/>
        <w:bCs w:val="0"/>
        <w:color w:val="000000" w:themeColor="text1"/>
        <w14:textFill>
          <w14:solidFill>
            <w14:schemeClr w14:val="tx1"/>
          </w14:solidFill>
        </w14:textFill>
      </w:rPr>
    </w:lvl>
  </w:abstractNum>
  <w:abstractNum w:abstractNumId="1">
    <w:nsid w:val="D61CE703"/>
    <w:multiLevelType w:val="singleLevel"/>
    <w:tmpl w:val="D61CE703"/>
    <w:lvl w:ilvl="0" w:tentative="0">
      <w:start w:val="2"/>
      <w:numFmt w:val="decimal"/>
      <w:suff w:val="space"/>
      <w:lvlText w:val="%1."/>
      <w:lvlJc w:val="left"/>
    </w:lvl>
  </w:abstractNum>
  <w:abstractNum w:abstractNumId="2">
    <w:nsid w:val="0D5D397D"/>
    <w:multiLevelType w:val="singleLevel"/>
    <w:tmpl w:val="0D5D397D"/>
    <w:lvl w:ilvl="0" w:tentative="0">
      <w:start w:val="1"/>
      <w:numFmt w:val="decimal"/>
      <w:suff w:val="nothing"/>
      <w:lvlText w:val="（%1）"/>
      <w:lvlJc w:val="left"/>
    </w:lvl>
  </w:abstractNum>
  <w:abstractNum w:abstractNumId="3">
    <w:nsid w:val="14CA5290"/>
    <w:multiLevelType w:val="singleLevel"/>
    <w:tmpl w:val="14CA5290"/>
    <w:lvl w:ilvl="0" w:tentative="0">
      <w:start w:val="1"/>
      <w:numFmt w:val="decimal"/>
      <w:suff w:val="nothing"/>
      <w:lvlText w:val="（%1）"/>
      <w:lvlJc w:val="left"/>
    </w:lvl>
  </w:abstractNum>
  <w:abstractNum w:abstractNumId="4">
    <w:nsid w:val="5CB7E3C5"/>
    <w:multiLevelType w:val="singleLevel"/>
    <w:tmpl w:val="5CB7E3C5"/>
    <w:lvl w:ilvl="0" w:tentative="0">
      <w:start w:val="1"/>
      <w:numFmt w:val="chineseCounting"/>
      <w:suff w:val="nothing"/>
      <w:lvlText w:val="%1、"/>
      <w:lvlJc w:val="left"/>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1ZDdlNTgyMjUwMWM2YTE3NGIwMjJjZTcyN2RmY2YifQ=="/>
  </w:docVars>
  <w:rsids>
    <w:rsidRoot w:val="6FED45F5"/>
    <w:rsid w:val="000009F2"/>
    <w:rsid w:val="000035A2"/>
    <w:rsid w:val="00003949"/>
    <w:rsid w:val="00005209"/>
    <w:rsid w:val="0000542F"/>
    <w:rsid w:val="00006122"/>
    <w:rsid w:val="00006463"/>
    <w:rsid w:val="00006590"/>
    <w:rsid w:val="000132AE"/>
    <w:rsid w:val="0001482F"/>
    <w:rsid w:val="00014BA4"/>
    <w:rsid w:val="00020EBE"/>
    <w:rsid w:val="0002102F"/>
    <w:rsid w:val="00022D87"/>
    <w:rsid w:val="000230AD"/>
    <w:rsid w:val="00024A11"/>
    <w:rsid w:val="00025248"/>
    <w:rsid w:val="0002695A"/>
    <w:rsid w:val="00031794"/>
    <w:rsid w:val="00035CB1"/>
    <w:rsid w:val="00041ED6"/>
    <w:rsid w:val="00052519"/>
    <w:rsid w:val="00053AF0"/>
    <w:rsid w:val="000623D3"/>
    <w:rsid w:val="00063E03"/>
    <w:rsid w:val="00063FCB"/>
    <w:rsid w:val="000640FE"/>
    <w:rsid w:val="000660A6"/>
    <w:rsid w:val="00072419"/>
    <w:rsid w:val="00073DE0"/>
    <w:rsid w:val="000747AD"/>
    <w:rsid w:val="0008176B"/>
    <w:rsid w:val="000833A4"/>
    <w:rsid w:val="00086196"/>
    <w:rsid w:val="00087828"/>
    <w:rsid w:val="0009175B"/>
    <w:rsid w:val="000A1A73"/>
    <w:rsid w:val="000A1E82"/>
    <w:rsid w:val="000A6451"/>
    <w:rsid w:val="000A75C2"/>
    <w:rsid w:val="000B07B8"/>
    <w:rsid w:val="000B0964"/>
    <w:rsid w:val="000B188D"/>
    <w:rsid w:val="000B3C1B"/>
    <w:rsid w:val="000B7131"/>
    <w:rsid w:val="000C1BFD"/>
    <w:rsid w:val="000C38FF"/>
    <w:rsid w:val="000C390F"/>
    <w:rsid w:val="000D3D7E"/>
    <w:rsid w:val="000D5B10"/>
    <w:rsid w:val="000D7F35"/>
    <w:rsid w:val="000E008E"/>
    <w:rsid w:val="000E159C"/>
    <w:rsid w:val="000E3144"/>
    <w:rsid w:val="000E3493"/>
    <w:rsid w:val="000E47E5"/>
    <w:rsid w:val="000E4B9C"/>
    <w:rsid w:val="000E4D06"/>
    <w:rsid w:val="000F0E0C"/>
    <w:rsid w:val="000F5092"/>
    <w:rsid w:val="000F5419"/>
    <w:rsid w:val="000F6A00"/>
    <w:rsid w:val="001005E7"/>
    <w:rsid w:val="001048D7"/>
    <w:rsid w:val="001120CD"/>
    <w:rsid w:val="0011277B"/>
    <w:rsid w:val="00114504"/>
    <w:rsid w:val="00122A2C"/>
    <w:rsid w:val="0012513C"/>
    <w:rsid w:val="00131C13"/>
    <w:rsid w:val="0013469A"/>
    <w:rsid w:val="00135ABC"/>
    <w:rsid w:val="001369AD"/>
    <w:rsid w:val="0014084C"/>
    <w:rsid w:val="001468DA"/>
    <w:rsid w:val="00150972"/>
    <w:rsid w:val="00152989"/>
    <w:rsid w:val="0015524F"/>
    <w:rsid w:val="00155ADC"/>
    <w:rsid w:val="00156B8B"/>
    <w:rsid w:val="00160D6D"/>
    <w:rsid w:val="00162935"/>
    <w:rsid w:val="00162B6D"/>
    <w:rsid w:val="0017022E"/>
    <w:rsid w:val="00170656"/>
    <w:rsid w:val="00173960"/>
    <w:rsid w:val="00175517"/>
    <w:rsid w:val="00186613"/>
    <w:rsid w:val="00187D14"/>
    <w:rsid w:val="001928B9"/>
    <w:rsid w:val="00193D79"/>
    <w:rsid w:val="0019456A"/>
    <w:rsid w:val="001A049A"/>
    <w:rsid w:val="001A0614"/>
    <w:rsid w:val="001A074A"/>
    <w:rsid w:val="001A1D82"/>
    <w:rsid w:val="001A2C4A"/>
    <w:rsid w:val="001A300C"/>
    <w:rsid w:val="001A3039"/>
    <w:rsid w:val="001B1DEC"/>
    <w:rsid w:val="001B300F"/>
    <w:rsid w:val="001B33BF"/>
    <w:rsid w:val="001C1846"/>
    <w:rsid w:val="001C350B"/>
    <w:rsid w:val="001D2317"/>
    <w:rsid w:val="001D2B8C"/>
    <w:rsid w:val="001D56A8"/>
    <w:rsid w:val="001D689F"/>
    <w:rsid w:val="001E5AB1"/>
    <w:rsid w:val="001F0D5D"/>
    <w:rsid w:val="001F1643"/>
    <w:rsid w:val="001F2271"/>
    <w:rsid w:val="001F464E"/>
    <w:rsid w:val="001F5E1B"/>
    <w:rsid w:val="001F61C3"/>
    <w:rsid w:val="001F7B55"/>
    <w:rsid w:val="0020067D"/>
    <w:rsid w:val="0020247E"/>
    <w:rsid w:val="002029CD"/>
    <w:rsid w:val="002037E1"/>
    <w:rsid w:val="00206056"/>
    <w:rsid w:val="00206D0F"/>
    <w:rsid w:val="00211450"/>
    <w:rsid w:val="00216710"/>
    <w:rsid w:val="00221C0B"/>
    <w:rsid w:val="00222305"/>
    <w:rsid w:val="002256BF"/>
    <w:rsid w:val="00236487"/>
    <w:rsid w:val="002500EB"/>
    <w:rsid w:val="00250948"/>
    <w:rsid w:val="00253976"/>
    <w:rsid w:val="002549D5"/>
    <w:rsid w:val="00261170"/>
    <w:rsid w:val="002622A9"/>
    <w:rsid w:val="00262846"/>
    <w:rsid w:val="00273B82"/>
    <w:rsid w:val="00274634"/>
    <w:rsid w:val="00276303"/>
    <w:rsid w:val="00277976"/>
    <w:rsid w:val="00280BD5"/>
    <w:rsid w:val="0028125E"/>
    <w:rsid w:val="002849CA"/>
    <w:rsid w:val="00286178"/>
    <w:rsid w:val="0028661C"/>
    <w:rsid w:val="002939AB"/>
    <w:rsid w:val="0029436A"/>
    <w:rsid w:val="00296937"/>
    <w:rsid w:val="002A05A1"/>
    <w:rsid w:val="002A7026"/>
    <w:rsid w:val="002A729F"/>
    <w:rsid w:val="002A7958"/>
    <w:rsid w:val="002A7D19"/>
    <w:rsid w:val="002B4F93"/>
    <w:rsid w:val="002C024A"/>
    <w:rsid w:val="002C278D"/>
    <w:rsid w:val="002C2F0C"/>
    <w:rsid w:val="002C3E75"/>
    <w:rsid w:val="002D25B7"/>
    <w:rsid w:val="002D28AA"/>
    <w:rsid w:val="002D2A72"/>
    <w:rsid w:val="002D2B3F"/>
    <w:rsid w:val="002D43C8"/>
    <w:rsid w:val="002D465F"/>
    <w:rsid w:val="002D5F58"/>
    <w:rsid w:val="002E259A"/>
    <w:rsid w:val="002E2925"/>
    <w:rsid w:val="002E3040"/>
    <w:rsid w:val="002F57E2"/>
    <w:rsid w:val="00300A96"/>
    <w:rsid w:val="00301CA1"/>
    <w:rsid w:val="003020A1"/>
    <w:rsid w:val="0030486A"/>
    <w:rsid w:val="003171E6"/>
    <w:rsid w:val="00317C80"/>
    <w:rsid w:val="00322FD4"/>
    <w:rsid w:val="00323DC2"/>
    <w:rsid w:val="003259A8"/>
    <w:rsid w:val="0033327F"/>
    <w:rsid w:val="00337209"/>
    <w:rsid w:val="0034418A"/>
    <w:rsid w:val="0035367A"/>
    <w:rsid w:val="00355410"/>
    <w:rsid w:val="00356F6A"/>
    <w:rsid w:val="00357731"/>
    <w:rsid w:val="003616BE"/>
    <w:rsid w:val="00361EF6"/>
    <w:rsid w:val="00363861"/>
    <w:rsid w:val="00373A18"/>
    <w:rsid w:val="00373B2F"/>
    <w:rsid w:val="00374811"/>
    <w:rsid w:val="00375391"/>
    <w:rsid w:val="00375F49"/>
    <w:rsid w:val="003867E6"/>
    <w:rsid w:val="00390C7F"/>
    <w:rsid w:val="003937C5"/>
    <w:rsid w:val="00395CA9"/>
    <w:rsid w:val="003962FC"/>
    <w:rsid w:val="003A056B"/>
    <w:rsid w:val="003A2212"/>
    <w:rsid w:val="003A383A"/>
    <w:rsid w:val="003A52DF"/>
    <w:rsid w:val="003A5512"/>
    <w:rsid w:val="003B2672"/>
    <w:rsid w:val="003B77E1"/>
    <w:rsid w:val="003C28FE"/>
    <w:rsid w:val="003C406A"/>
    <w:rsid w:val="003D0FC2"/>
    <w:rsid w:val="003D187B"/>
    <w:rsid w:val="003D1F07"/>
    <w:rsid w:val="003D56E1"/>
    <w:rsid w:val="003D5BDE"/>
    <w:rsid w:val="003D5BE9"/>
    <w:rsid w:val="003D650F"/>
    <w:rsid w:val="003D66B3"/>
    <w:rsid w:val="003D6799"/>
    <w:rsid w:val="003D758E"/>
    <w:rsid w:val="003E38CE"/>
    <w:rsid w:val="003E4DFB"/>
    <w:rsid w:val="003E691B"/>
    <w:rsid w:val="003F0790"/>
    <w:rsid w:val="003F28ED"/>
    <w:rsid w:val="003F4AFB"/>
    <w:rsid w:val="00400811"/>
    <w:rsid w:val="00400E16"/>
    <w:rsid w:val="004050FF"/>
    <w:rsid w:val="00410796"/>
    <w:rsid w:val="00412E3C"/>
    <w:rsid w:val="0041569D"/>
    <w:rsid w:val="00417ED6"/>
    <w:rsid w:val="00423704"/>
    <w:rsid w:val="00423B66"/>
    <w:rsid w:val="00425302"/>
    <w:rsid w:val="0043164E"/>
    <w:rsid w:val="00431E57"/>
    <w:rsid w:val="00436067"/>
    <w:rsid w:val="0043722B"/>
    <w:rsid w:val="00442BCA"/>
    <w:rsid w:val="00447F2B"/>
    <w:rsid w:val="00452EFB"/>
    <w:rsid w:val="00453F37"/>
    <w:rsid w:val="00457359"/>
    <w:rsid w:val="00462FD4"/>
    <w:rsid w:val="00463F67"/>
    <w:rsid w:val="00464666"/>
    <w:rsid w:val="004704E3"/>
    <w:rsid w:val="00473F59"/>
    <w:rsid w:val="0047434A"/>
    <w:rsid w:val="00480D90"/>
    <w:rsid w:val="00482CB9"/>
    <w:rsid w:val="00484BAC"/>
    <w:rsid w:val="00487590"/>
    <w:rsid w:val="00487702"/>
    <w:rsid w:val="004877B7"/>
    <w:rsid w:val="0049067B"/>
    <w:rsid w:val="00496FF3"/>
    <w:rsid w:val="00497782"/>
    <w:rsid w:val="004A1E9A"/>
    <w:rsid w:val="004A48F4"/>
    <w:rsid w:val="004B006C"/>
    <w:rsid w:val="004B5BB4"/>
    <w:rsid w:val="004C2E89"/>
    <w:rsid w:val="004C5AB9"/>
    <w:rsid w:val="004C7282"/>
    <w:rsid w:val="004C7DA9"/>
    <w:rsid w:val="004D0A19"/>
    <w:rsid w:val="004D3424"/>
    <w:rsid w:val="004D3D03"/>
    <w:rsid w:val="004D5238"/>
    <w:rsid w:val="004D729C"/>
    <w:rsid w:val="004D79DC"/>
    <w:rsid w:val="004F02E2"/>
    <w:rsid w:val="004F5215"/>
    <w:rsid w:val="00504BA8"/>
    <w:rsid w:val="005051C2"/>
    <w:rsid w:val="00510472"/>
    <w:rsid w:val="0051172F"/>
    <w:rsid w:val="00512AB8"/>
    <w:rsid w:val="00522893"/>
    <w:rsid w:val="0052452D"/>
    <w:rsid w:val="0052640D"/>
    <w:rsid w:val="00527200"/>
    <w:rsid w:val="00531461"/>
    <w:rsid w:val="0054075D"/>
    <w:rsid w:val="005444AC"/>
    <w:rsid w:val="005471C5"/>
    <w:rsid w:val="005505E8"/>
    <w:rsid w:val="00552604"/>
    <w:rsid w:val="005540E5"/>
    <w:rsid w:val="005610E0"/>
    <w:rsid w:val="005730BF"/>
    <w:rsid w:val="0057409B"/>
    <w:rsid w:val="00576F7E"/>
    <w:rsid w:val="005822C5"/>
    <w:rsid w:val="00582952"/>
    <w:rsid w:val="00582B9B"/>
    <w:rsid w:val="00583607"/>
    <w:rsid w:val="00585187"/>
    <w:rsid w:val="00585818"/>
    <w:rsid w:val="00587A7C"/>
    <w:rsid w:val="00597F14"/>
    <w:rsid w:val="005A26FC"/>
    <w:rsid w:val="005B21F7"/>
    <w:rsid w:val="005B7923"/>
    <w:rsid w:val="005C0009"/>
    <w:rsid w:val="005D3012"/>
    <w:rsid w:val="005D4AFB"/>
    <w:rsid w:val="005E1B11"/>
    <w:rsid w:val="005E1F23"/>
    <w:rsid w:val="005E5C1B"/>
    <w:rsid w:val="005F2902"/>
    <w:rsid w:val="005F45F0"/>
    <w:rsid w:val="005F4F09"/>
    <w:rsid w:val="006064EB"/>
    <w:rsid w:val="006117A3"/>
    <w:rsid w:val="00624E91"/>
    <w:rsid w:val="00633ED3"/>
    <w:rsid w:val="006419F6"/>
    <w:rsid w:val="00643A09"/>
    <w:rsid w:val="00647257"/>
    <w:rsid w:val="006505AB"/>
    <w:rsid w:val="00653F00"/>
    <w:rsid w:val="00655433"/>
    <w:rsid w:val="006616F3"/>
    <w:rsid w:val="00665D1D"/>
    <w:rsid w:val="00667CE9"/>
    <w:rsid w:val="0067097D"/>
    <w:rsid w:val="00673637"/>
    <w:rsid w:val="006739A1"/>
    <w:rsid w:val="00681E81"/>
    <w:rsid w:val="006914A6"/>
    <w:rsid w:val="00694956"/>
    <w:rsid w:val="00694F2B"/>
    <w:rsid w:val="0069712E"/>
    <w:rsid w:val="0069733B"/>
    <w:rsid w:val="006A5490"/>
    <w:rsid w:val="006A744C"/>
    <w:rsid w:val="006A7E70"/>
    <w:rsid w:val="006B003B"/>
    <w:rsid w:val="006B1E7B"/>
    <w:rsid w:val="006B4071"/>
    <w:rsid w:val="006B7D64"/>
    <w:rsid w:val="006C0A9E"/>
    <w:rsid w:val="006C55CA"/>
    <w:rsid w:val="006D2158"/>
    <w:rsid w:val="006D71C6"/>
    <w:rsid w:val="006E075B"/>
    <w:rsid w:val="006E6319"/>
    <w:rsid w:val="006E75D2"/>
    <w:rsid w:val="006E7F4B"/>
    <w:rsid w:val="006F3833"/>
    <w:rsid w:val="006F4A95"/>
    <w:rsid w:val="006F6043"/>
    <w:rsid w:val="007002F8"/>
    <w:rsid w:val="00703BB0"/>
    <w:rsid w:val="007048B2"/>
    <w:rsid w:val="007119EF"/>
    <w:rsid w:val="0071334C"/>
    <w:rsid w:val="00715DF1"/>
    <w:rsid w:val="00720623"/>
    <w:rsid w:val="00730A99"/>
    <w:rsid w:val="0073454B"/>
    <w:rsid w:val="0073611A"/>
    <w:rsid w:val="00740429"/>
    <w:rsid w:val="00740603"/>
    <w:rsid w:val="00744787"/>
    <w:rsid w:val="00745688"/>
    <w:rsid w:val="007641E8"/>
    <w:rsid w:val="00770D66"/>
    <w:rsid w:val="007737E6"/>
    <w:rsid w:val="00775BD8"/>
    <w:rsid w:val="00787519"/>
    <w:rsid w:val="00797497"/>
    <w:rsid w:val="007B1C45"/>
    <w:rsid w:val="007B2AE7"/>
    <w:rsid w:val="007B3D77"/>
    <w:rsid w:val="007B463F"/>
    <w:rsid w:val="007B5D01"/>
    <w:rsid w:val="007B7DF6"/>
    <w:rsid w:val="007C0665"/>
    <w:rsid w:val="007C202A"/>
    <w:rsid w:val="007C2E97"/>
    <w:rsid w:val="007D6DC7"/>
    <w:rsid w:val="007D732D"/>
    <w:rsid w:val="007E19CC"/>
    <w:rsid w:val="007E2665"/>
    <w:rsid w:val="007E7B24"/>
    <w:rsid w:val="007E7E6C"/>
    <w:rsid w:val="007F77CB"/>
    <w:rsid w:val="00805196"/>
    <w:rsid w:val="00815339"/>
    <w:rsid w:val="00815B03"/>
    <w:rsid w:val="00821D78"/>
    <w:rsid w:val="008249BB"/>
    <w:rsid w:val="008336F8"/>
    <w:rsid w:val="00841AC4"/>
    <w:rsid w:val="008427FC"/>
    <w:rsid w:val="00842A81"/>
    <w:rsid w:val="008436A1"/>
    <w:rsid w:val="00843DF7"/>
    <w:rsid w:val="00847029"/>
    <w:rsid w:val="008543C4"/>
    <w:rsid w:val="008552E5"/>
    <w:rsid w:val="0086044B"/>
    <w:rsid w:val="00861528"/>
    <w:rsid w:val="00863078"/>
    <w:rsid w:val="0086315D"/>
    <w:rsid w:val="00864135"/>
    <w:rsid w:val="00870457"/>
    <w:rsid w:val="0087203D"/>
    <w:rsid w:val="00873276"/>
    <w:rsid w:val="00882F5C"/>
    <w:rsid w:val="0088476C"/>
    <w:rsid w:val="0088515A"/>
    <w:rsid w:val="0089083E"/>
    <w:rsid w:val="0089582B"/>
    <w:rsid w:val="00897A7C"/>
    <w:rsid w:val="00897D92"/>
    <w:rsid w:val="008A2AE6"/>
    <w:rsid w:val="008A2FCF"/>
    <w:rsid w:val="008A386A"/>
    <w:rsid w:val="008A63C8"/>
    <w:rsid w:val="008B2DC6"/>
    <w:rsid w:val="008B2EFF"/>
    <w:rsid w:val="008B3183"/>
    <w:rsid w:val="008B7070"/>
    <w:rsid w:val="008B74FE"/>
    <w:rsid w:val="008C20BF"/>
    <w:rsid w:val="008D237A"/>
    <w:rsid w:val="008E41E6"/>
    <w:rsid w:val="008F0CDC"/>
    <w:rsid w:val="008F1ED2"/>
    <w:rsid w:val="008F41EE"/>
    <w:rsid w:val="008F48EA"/>
    <w:rsid w:val="008F50D0"/>
    <w:rsid w:val="00901E1F"/>
    <w:rsid w:val="009025F3"/>
    <w:rsid w:val="009059CD"/>
    <w:rsid w:val="009068ED"/>
    <w:rsid w:val="009109CA"/>
    <w:rsid w:val="009128A4"/>
    <w:rsid w:val="00914F83"/>
    <w:rsid w:val="00920899"/>
    <w:rsid w:val="00920D7E"/>
    <w:rsid w:val="00922543"/>
    <w:rsid w:val="009237A9"/>
    <w:rsid w:val="009240A3"/>
    <w:rsid w:val="009304A2"/>
    <w:rsid w:val="00932372"/>
    <w:rsid w:val="0093607F"/>
    <w:rsid w:val="00936540"/>
    <w:rsid w:val="00940682"/>
    <w:rsid w:val="009411F1"/>
    <w:rsid w:val="00943D0C"/>
    <w:rsid w:val="00944539"/>
    <w:rsid w:val="00957AAA"/>
    <w:rsid w:val="00962683"/>
    <w:rsid w:val="00970B19"/>
    <w:rsid w:val="009727DF"/>
    <w:rsid w:val="00975F7C"/>
    <w:rsid w:val="009770BC"/>
    <w:rsid w:val="0098416C"/>
    <w:rsid w:val="00993EC3"/>
    <w:rsid w:val="009A04DC"/>
    <w:rsid w:val="009B1AB5"/>
    <w:rsid w:val="009B5416"/>
    <w:rsid w:val="009C18BA"/>
    <w:rsid w:val="009C39A6"/>
    <w:rsid w:val="009C552A"/>
    <w:rsid w:val="009D03F6"/>
    <w:rsid w:val="009D6D4F"/>
    <w:rsid w:val="009D739A"/>
    <w:rsid w:val="009E400C"/>
    <w:rsid w:val="009E78C7"/>
    <w:rsid w:val="009F0432"/>
    <w:rsid w:val="009F48EE"/>
    <w:rsid w:val="00A036D7"/>
    <w:rsid w:val="00A1162F"/>
    <w:rsid w:val="00A12F11"/>
    <w:rsid w:val="00A1677F"/>
    <w:rsid w:val="00A20D4D"/>
    <w:rsid w:val="00A210CC"/>
    <w:rsid w:val="00A21B6C"/>
    <w:rsid w:val="00A25094"/>
    <w:rsid w:val="00A3223F"/>
    <w:rsid w:val="00A33C6F"/>
    <w:rsid w:val="00A40ECC"/>
    <w:rsid w:val="00A45AB8"/>
    <w:rsid w:val="00A45FA5"/>
    <w:rsid w:val="00A5245E"/>
    <w:rsid w:val="00A543DB"/>
    <w:rsid w:val="00A609D2"/>
    <w:rsid w:val="00A626AA"/>
    <w:rsid w:val="00A632EF"/>
    <w:rsid w:val="00A6616B"/>
    <w:rsid w:val="00A674B2"/>
    <w:rsid w:val="00A72690"/>
    <w:rsid w:val="00A748BE"/>
    <w:rsid w:val="00A83462"/>
    <w:rsid w:val="00A83A2D"/>
    <w:rsid w:val="00A84CF4"/>
    <w:rsid w:val="00A871CE"/>
    <w:rsid w:val="00A9008B"/>
    <w:rsid w:val="00A922EB"/>
    <w:rsid w:val="00A936CA"/>
    <w:rsid w:val="00AA1033"/>
    <w:rsid w:val="00AA2F51"/>
    <w:rsid w:val="00AC23F5"/>
    <w:rsid w:val="00AC2F52"/>
    <w:rsid w:val="00AC66F8"/>
    <w:rsid w:val="00AD33A9"/>
    <w:rsid w:val="00AD413E"/>
    <w:rsid w:val="00AD49D9"/>
    <w:rsid w:val="00AD7511"/>
    <w:rsid w:val="00AE131B"/>
    <w:rsid w:val="00AE2A7A"/>
    <w:rsid w:val="00AE2CD2"/>
    <w:rsid w:val="00AE3BB1"/>
    <w:rsid w:val="00AE6A03"/>
    <w:rsid w:val="00AE6E12"/>
    <w:rsid w:val="00AE7281"/>
    <w:rsid w:val="00AF15FC"/>
    <w:rsid w:val="00AF1EEF"/>
    <w:rsid w:val="00B018C4"/>
    <w:rsid w:val="00B0288D"/>
    <w:rsid w:val="00B05730"/>
    <w:rsid w:val="00B0649A"/>
    <w:rsid w:val="00B12F66"/>
    <w:rsid w:val="00B12F7E"/>
    <w:rsid w:val="00B15BCE"/>
    <w:rsid w:val="00B1676E"/>
    <w:rsid w:val="00B231EA"/>
    <w:rsid w:val="00B3179C"/>
    <w:rsid w:val="00B32D9E"/>
    <w:rsid w:val="00B36E02"/>
    <w:rsid w:val="00B42385"/>
    <w:rsid w:val="00B45775"/>
    <w:rsid w:val="00B47B0A"/>
    <w:rsid w:val="00B47C78"/>
    <w:rsid w:val="00B507D7"/>
    <w:rsid w:val="00B547E6"/>
    <w:rsid w:val="00B56F85"/>
    <w:rsid w:val="00B62ABA"/>
    <w:rsid w:val="00B650FB"/>
    <w:rsid w:val="00B659D0"/>
    <w:rsid w:val="00B72B52"/>
    <w:rsid w:val="00B736D1"/>
    <w:rsid w:val="00B82CD9"/>
    <w:rsid w:val="00B83030"/>
    <w:rsid w:val="00B83BBB"/>
    <w:rsid w:val="00B84F67"/>
    <w:rsid w:val="00B85076"/>
    <w:rsid w:val="00B91AB8"/>
    <w:rsid w:val="00B91BBE"/>
    <w:rsid w:val="00B922C7"/>
    <w:rsid w:val="00B97A2A"/>
    <w:rsid w:val="00BA2D77"/>
    <w:rsid w:val="00BA4037"/>
    <w:rsid w:val="00BA4040"/>
    <w:rsid w:val="00BA4CEF"/>
    <w:rsid w:val="00BA748B"/>
    <w:rsid w:val="00BA7DF3"/>
    <w:rsid w:val="00BB276B"/>
    <w:rsid w:val="00BC29C1"/>
    <w:rsid w:val="00BC4C07"/>
    <w:rsid w:val="00BE1413"/>
    <w:rsid w:val="00BE14D3"/>
    <w:rsid w:val="00BE28AA"/>
    <w:rsid w:val="00BF1F55"/>
    <w:rsid w:val="00BF58FF"/>
    <w:rsid w:val="00BF6D96"/>
    <w:rsid w:val="00C04F8A"/>
    <w:rsid w:val="00C0537D"/>
    <w:rsid w:val="00C0767C"/>
    <w:rsid w:val="00C10D1A"/>
    <w:rsid w:val="00C11513"/>
    <w:rsid w:val="00C20246"/>
    <w:rsid w:val="00C21069"/>
    <w:rsid w:val="00C2382D"/>
    <w:rsid w:val="00C23DC9"/>
    <w:rsid w:val="00C25247"/>
    <w:rsid w:val="00C30437"/>
    <w:rsid w:val="00C31344"/>
    <w:rsid w:val="00C34A40"/>
    <w:rsid w:val="00C3618B"/>
    <w:rsid w:val="00C36D05"/>
    <w:rsid w:val="00C4084C"/>
    <w:rsid w:val="00C425D2"/>
    <w:rsid w:val="00C52449"/>
    <w:rsid w:val="00C57D18"/>
    <w:rsid w:val="00C66234"/>
    <w:rsid w:val="00C71D1D"/>
    <w:rsid w:val="00C731F1"/>
    <w:rsid w:val="00C772FE"/>
    <w:rsid w:val="00C833BA"/>
    <w:rsid w:val="00C85D6F"/>
    <w:rsid w:val="00C9682B"/>
    <w:rsid w:val="00CA2F68"/>
    <w:rsid w:val="00CA6794"/>
    <w:rsid w:val="00CC08A3"/>
    <w:rsid w:val="00CE0DD3"/>
    <w:rsid w:val="00CE3522"/>
    <w:rsid w:val="00CE5D50"/>
    <w:rsid w:val="00CF13BE"/>
    <w:rsid w:val="00D00CA5"/>
    <w:rsid w:val="00D025A6"/>
    <w:rsid w:val="00D06930"/>
    <w:rsid w:val="00D074B1"/>
    <w:rsid w:val="00D1067C"/>
    <w:rsid w:val="00D11662"/>
    <w:rsid w:val="00D12BF4"/>
    <w:rsid w:val="00D13517"/>
    <w:rsid w:val="00D1422E"/>
    <w:rsid w:val="00D15C85"/>
    <w:rsid w:val="00D1623D"/>
    <w:rsid w:val="00D17094"/>
    <w:rsid w:val="00D179A8"/>
    <w:rsid w:val="00D244ED"/>
    <w:rsid w:val="00D255F5"/>
    <w:rsid w:val="00D31D1D"/>
    <w:rsid w:val="00D33342"/>
    <w:rsid w:val="00D3621B"/>
    <w:rsid w:val="00D368D9"/>
    <w:rsid w:val="00D43F33"/>
    <w:rsid w:val="00D44778"/>
    <w:rsid w:val="00D44853"/>
    <w:rsid w:val="00D45C84"/>
    <w:rsid w:val="00D50235"/>
    <w:rsid w:val="00D51091"/>
    <w:rsid w:val="00D51D32"/>
    <w:rsid w:val="00D5598C"/>
    <w:rsid w:val="00D57B9C"/>
    <w:rsid w:val="00D63062"/>
    <w:rsid w:val="00D74ED9"/>
    <w:rsid w:val="00D779ED"/>
    <w:rsid w:val="00D81BF6"/>
    <w:rsid w:val="00D825B2"/>
    <w:rsid w:val="00D92C4A"/>
    <w:rsid w:val="00D93029"/>
    <w:rsid w:val="00D93AEC"/>
    <w:rsid w:val="00D94817"/>
    <w:rsid w:val="00D94E42"/>
    <w:rsid w:val="00D9516C"/>
    <w:rsid w:val="00DB1178"/>
    <w:rsid w:val="00DB278E"/>
    <w:rsid w:val="00DB4357"/>
    <w:rsid w:val="00DD0528"/>
    <w:rsid w:val="00DD12B5"/>
    <w:rsid w:val="00DD1FEA"/>
    <w:rsid w:val="00DD21F1"/>
    <w:rsid w:val="00DD41D5"/>
    <w:rsid w:val="00DD5ED4"/>
    <w:rsid w:val="00DD76EB"/>
    <w:rsid w:val="00DE1C0D"/>
    <w:rsid w:val="00DE2E63"/>
    <w:rsid w:val="00DE4573"/>
    <w:rsid w:val="00DE6363"/>
    <w:rsid w:val="00DE6E1B"/>
    <w:rsid w:val="00DF06D7"/>
    <w:rsid w:val="00DF54B5"/>
    <w:rsid w:val="00DF5B56"/>
    <w:rsid w:val="00DF6D9E"/>
    <w:rsid w:val="00E00D87"/>
    <w:rsid w:val="00E0168C"/>
    <w:rsid w:val="00E01E57"/>
    <w:rsid w:val="00E03310"/>
    <w:rsid w:val="00E0693F"/>
    <w:rsid w:val="00E06C09"/>
    <w:rsid w:val="00E136A3"/>
    <w:rsid w:val="00E13CD3"/>
    <w:rsid w:val="00E152AE"/>
    <w:rsid w:val="00E16318"/>
    <w:rsid w:val="00E16861"/>
    <w:rsid w:val="00E21178"/>
    <w:rsid w:val="00E22AD3"/>
    <w:rsid w:val="00E2315E"/>
    <w:rsid w:val="00E23E5F"/>
    <w:rsid w:val="00E3078A"/>
    <w:rsid w:val="00E35CD3"/>
    <w:rsid w:val="00E457C5"/>
    <w:rsid w:val="00E51743"/>
    <w:rsid w:val="00E54E6B"/>
    <w:rsid w:val="00E571DC"/>
    <w:rsid w:val="00E643CC"/>
    <w:rsid w:val="00E75FB6"/>
    <w:rsid w:val="00E768BF"/>
    <w:rsid w:val="00E813FC"/>
    <w:rsid w:val="00E82431"/>
    <w:rsid w:val="00E83174"/>
    <w:rsid w:val="00E90D62"/>
    <w:rsid w:val="00E9146E"/>
    <w:rsid w:val="00E9668C"/>
    <w:rsid w:val="00EA0986"/>
    <w:rsid w:val="00EA35D2"/>
    <w:rsid w:val="00EA69D5"/>
    <w:rsid w:val="00EC04A0"/>
    <w:rsid w:val="00EC38E2"/>
    <w:rsid w:val="00EC432D"/>
    <w:rsid w:val="00EC6D14"/>
    <w:rsid w:val="00EC7E4F"/>
    <w:rsid w:val="00ED2382"/>
    <w:rsid w:val="00ED7724"/>
    <w:rsid w:val="00EF2475"/>
    <w:rsid w:val="00EF3B31"/>
    <w:rsid w:val="00F02201"/>
    <w:rsid w:val="00F060D4"/>
    <w:rsid w:val="00F0731B"/>
    <w:rsid w:val="00F25897"/>
    <w:rsid w:val="00F30304"/>
    <w:rsid w:val="00F3250C"/>
    <w:rsid w:val="00F3457F"/>
    <w:rsid w:val="00F34DA5"/>
    <w:rsid w:val="00F34E5C"/>
    <w:rsid w:val="00F34E64"/>
    <w:rsid w:val="00F41562"/>
    <w:rsid w:val="00F41A1D"/>
    <w:rsid w:val="00F42604"/>
    <w:rsid w:val="00F45639"/>
    <w:rsid w:val="00F467F4"/>
    <w:rsid w:val="00F46DE6"/>
    <w:rsid w:val="00F535AA"/>
    <w:rsid w:val="00F66627"/>
    <w:rsid w:val="00F66818"/>
    <w:rsid w:val="00F66F25"/>
    <w:rsid w:val="00F67CC2"/>
    <w:rsid w:val="00F709C8"/>
    <w:rsid w:val="00F7117E"/>
    <w:rsid w:val="00F71C44"/>
    <w:rsid w:val="00F735B8"/>
    <w:rsid w:val="00F76605"/>
    <w:rsid w:val="00F77078"/>
    <w:rsid w:val="00F7748B"/>
    <w:rsid w:val="00F81473"/>
    <w:rsid w:val="00F875D8"/>
    <w:rsid w:val="00F92DA9"/>
    <w:rsid w:val="00F955C4"/>
    <w:rsid w:val="00F95B88"/>
    <w:rsid w:val="00FA0D6C"/>
    <w:rsid w:val="00FA34B7"/>
    <w:rsid w:val="00FA5C6B"/>
    <w:rsid w:val="00FA5D1B"/>
    <w:rsid w:val="00FB1124"/>
    <w:rsid w:val="00FB2B69"/>
    <w:rsid w:val="00FC1BB5"/>
    <w:rsid w:val="00FC6715"/>
    <w:rsid w:val="00FD46C4"/>
    <w:rsid w:val="00FD5C26"/>
    <w:rsid w:val="00FE0BBF"/>
    <w:rsid w:val="00FE3C1D"/>
    <w:rsid w:val="00FE77B4"/>
    <w:rsid w:val="00FF1988"/>
    <w:rsid w:val="00FF234A"/>
    <w:rsid w:val="00FF254F"/>
    <w:rsid w:val="00FF7B3B"/>
    <w:rsid w:val="012A595C"/>
    <w:rsid w:val="01F67830"/>
    <w:rsid w:val="02242A6B"/>
    <w:rsid w:val="02A11F4F"/>
    <w:rsid w:val="02EC699B"/>
    <w:rsid w:val="03073058"/>
    <w:rsid w:val="030B2A7C"/>
    <w:rsid w:val="031E45D6"/>
    <w:rsid w:val="03A31313"/>
    <w:rsid w:val="03AF14C8"/>
    <w:rsid w:val="03D61174"/>
    <w:rsid w:val="04184354"/>
    <w:rsid w:val="04FA6D55"/>
    <w:rsid w:val="05120C21"/>
    <w:rsid w:val="057846CD"/>
    <w:rsid w:val="05D160B7"/>
    <w:rsid w:val="060625C5"/>
    <w:rsid w:val="06287F37"/>
    <w:rsid w:val="06372900"/>
    <w:rsid w:val="06375B27"/>
    <w:rsid w:val="064040F2"/>
    <w:rsid w:val="06637506"/>
    <w:rsid w:val="075775AA"/>
    <w:rsid w:val="07D222A0"/>
    <w:rsid w:val="08183D17"/>
    <w:rsid w:val="089E323F"/>
    <w:rsid w:val="09403770"/>
    <w:rsid w:val="09A67483"/>
    <w:rsid w:val="09FC7B4F"/>
    <w:rsid w:val="0A367A66"/>
    <w:rsid w:val="0A7E7A62"/>
    <w:rsid w:val="0AF56E79"/>
    <w:rsid w:val="0B1A0DC2"/>
    <w:rsid w:val="0B3679BB"/>
    <w:rsid w:val="0B9D495E"/>
    <w:rsid w:val="0BDC0B7E"/>
    <w:rsid w:val="0C6D3E1B"/>
    <w:rsid w:val="0CE70483"/>
    <w:rsid w:val="0D612415"/>
    <w:rsid w:val="0E733016"/>
    <w:rsid w:val="0EC23C2B"/>
    <w:rsid w:val="0EEA3E1D"/>
    <w:rsid w:val="0EFF05FA"/>
    <w:rsid w:val="0F146FF2"/>
    <w:rsid w:val="0F6661D6"/>
    <w:rsid w:val="0FC4272E"/>
    <w:rsid w:val="10170FE8"/>
    <w:rsid w:val="1092497D"/>
    <w:rsid w:val="10B730EB"/>
    <w:rsid w:val="114505F4"/>
    <w:rsid w:val="11494080"/>
    <w:rsid w:val="11E5423F"/>
    <w:rsid w:val="11FB5D38"/>
    <w:rsid w:val="125F06E8"/>
    <w:rsid w:val="1274686E"/>
    <w:rsid w:val="12CA1884"/>
    <w:rsid w:val="132C09C5"/>
    <w:rsid w:val="13347D0D"/>
    <w:rsid w:val="138134EB"/>
    <w:rsid w:val="13AA6BDA"/>
    <w:rsid w:val="13D6248B"/>
    <w:rsid w:val="13DA02E6"/>
    <w:rsid w:val="14127701"/>
    <w:rsid w:val="1467694C"/>
    <w:rsid w:val="157F66A4"/>
    <w:rsid w:val="15F33FE8"/>
    <w:rsid w:val="160B7499"/>
    <w:rsid w:val="16AC1AF3"/>
    <w:rsid w:val="16C02E28"/>
    <w:rsid w:val="16EE0386"/>
    <w:rsid w:val="17A22670"/>
    <w:rsid w:val="17B759F8"/>
    <w:rsid w:val="17E92EF4"/>
    <w:rsid w:val="17EF504C"/>
    <w:rsid w:val="18212F49"/>
    <w:rsid w:val="1866434D"/>
    <w:rsid w:val="1922268D"/>
    <w:rsid w:val="19661CE9"/>
    <w:rsid w:val="196D4E7B"/>
    <w:rsid w:val="19A0720E"/>
    <w:rsid w:val="1A6C68B5"/>
    <w:rsid w:val="1A7424A4"/>
    <w:rsid w:val="1ACB77D9"/>
    <w:rsid w:val="1B643161"/>
    <w:rsid w:val="1B7B318C"/>
    <w:rsid w:val="1C232B3E"/>
    <w:rsid w:val="1C803088"/>
    <w:rsid w:val="1C8D7349"/>
    <w:rsid w:val="1CB21953"/>
    <w:rsid w:val="1DC15AA4"/>
    <w:rsid w:val="1DE300B3"/>
    <w:rsid w:val="1EA3694F"/>
    <w:rsid w:val="1EF170D1"/>
    <w:rsid w:val="1F831A90"/>
    <w:rsid w:val="1FDF1F8C"/>
    <w:rsid w:val="2035147D"/>
    <w:rsid w:val="20F0307C"/>
    <w:rsid w:val="212970D8"/>
    <w:rsid w:val="2139026C"/>
    <w:rsid w:val="214B79FF"/>
    <w:rsid w:val="222C58FA"/>
    <w:rsid w:val="223A0998"/>
    <w:rsid w:val="22736DFB"/>
    <w:rsid w:val="230311CC"/>
    <w:rsid w:val="23170FF8"/>
    <w:rsid w:val="232A641E"/>
    <w:rsid w:val="235E1FED"/>
    <w:rsid w:val="235E58AB"/>
    <w:rsid w:val="23EC6CD9"/>
    <w:rsid w:val="24127BA0"/>
    <w:rsid w:val="24181CCF"/>
    <w:rsid w:val="24687786"/>
    <w:rsid w:val="24C353A1"/>
    <w:rsid w:val="25081B50"/>
    <w:rsid w:val="255A278A"/>
    <w:rsid w:val="25C121E5"/>
    <w:rsid w:val="25D65809"/>
    <w:rsid w:val="25E96A8C"/>
    <w:rsid w:val="26726C14"/>
    <w:rsid w:val="26731FD2"/>
    <w:rsid w:val="26A15D5B"/>
    <w:rsid w:val="26A27B30"/>
    <w:rsid w:val="26A3524D"/>
    <w:rsid w:val="26AB3658"/>
    <w:rsid w:val="26DC63CD"/>
    <w:rsid w:val="26F83F34"/>
    <w:rsid w:val="27322E3B"/>
    <w:rsid w:val="27420243"/>
    <w:rsid w:val="27E4209E"/>
    <w:rsid w:val="28252C6B"/>
    <w:rsid w:val="28320C83"/>
    <w:rsid w:val="284730DC"/>
    <w:rsid w:val="28490A1D"/>
    <w:rsid w:val="28F50E40"/>
    <w:rsid w:val="293539BA"/>
    <w:rsid w:val="29CB0781"/>
    <w:rsid w:val="29CF2C42"/>
    <w:rsid w:val="29D67429"/>
    <w:rsid w:val="29DD66EE"/>
    <w:rsid w:val="2A1678E6"/>
    <w:rsid w:val="2BD57DFA"/>
    <w:rsid w:val="2C2A2BA2"/>
    <w:rsid w:val="2C303B78"/>
    <w:rsid w:val="2C704942"/>
    <w:rsid w:val="2C9A47DE"/>
    <w:rsid w:val="2CA35F0F"/>
    <w:rsid w:val="2CA75426"/>
    <w:rsid w:val="2CFD50E3"/>
    <w:rsid w:val="2D115010"/>
    <w:rsid w:val="2D72313D"/>
    <w:rsid w:val="2D752992"/>
    <w:rsid w:val="2E7E4D8B"/>
    <w:rsid w:val="2EF01F50"/>
    <w:rsid w:val="2F372AD0"/>
    <w:rsid w:val="2F887153"/>
    <w:rsid w:val="2FB96CA7"/>
    <w:rsid w:val="30D85506"/>
    <w:rsid w:val="30E161CD"/>
    <w:rsid w:val="31F14C52"/>
    <w:rsid w:val="325B55BB"/>
    <w:rsid w:val="32C513A8"/>
    <w:rsid w:val="33011365"/>
    <w:rsid w:val="331E5A1E"/>
    <w:rsid w:val="338E7973"/>
    <w:rsid w:val="353C0B5E"/>
    <w:rsid w:val="354207D4"/>
    <w:rsid w:val="356C3225"/>
    <w:rsid w:val="35962762"/>
    <w:rsid w:val="36893F85"/>
    <w:rsid w:val="3689432D"/>
    <w:rsid w:val="36E474B5"/>
    <w:rsid w:val="3752259C"/>
    <w:rsid w:val="384C57BA"/>
    <w:rsid w:val="38AE749E"/>
    <w:rsid w:val="38B50886"/>
    <w:rsid w:val="38C116FA"/>
    <w:rsid w:val="38F637FC"/>
    <w:rsid w:val="391039C1"/>
    <w:rsid w:val="395714D7"/>
    <w:rsid w:val="3A2F4093"/>
    <w:rsid w:val="3A555642"/>
    <w:rsid w:val="3A6C1DFC"/>
    <w:rsid w:val="3A7802B4"/>
    <w:rsid w:val="3ABC3880"/>
    <w:rsid w:val="3B3629E6"/>
    <w:rsid w:val="3B394FDE"/>
    <w:rsid w:val="3B3A11DD"/>
    <w:rsid w:val="3C94390C"/>
    <w:rsid w:val="3C995CD3"/>
    <w:rsid w:val="3CB34AFE"/>
    <w:rsid w:val="3CFF57ED"/>
    <w:rsid w:val="3D2F0998"/>
    <w:rsid w:val="3D4F2BDF"/>
    <w:rsid w:val="3D847006"/>
    <w:rsid w:val="3E211496"/>
    <w:rsid w:val="3E605513"/>
    <w:rsid w:val="3E857560"/>
    <w:rsid w:val="3EC651BA"/>
    <w:rsid w:val="3EDD3140"/>
    <w:rsid w:val="3F204876"/>
    <w:rsid w:val="3F561AAC"/>
    <w:rsid w:val="3F882F74"/>
    <w:rsid w:val="3F95462F"/>
    <w:rsid w:val="3FD427C8"/>
    <w:rsid w:val="40327994"/>
    <w:rsid w:val="40754257"/>
    <w:rsid w:val="407C7E7E"/>
    <w:rsid w:val="409E0CA9"/>
    <w:rsid w:val="40CF183E"/>
    <w:rsid w:val="40D20421"/>
    <w:rsid w:val="412471F1"/>
    <w:rsid w:val="41C12615"/>
    <w:rsid w:val="42CA271F"/>
    <w:rsid w:val="42D21459"/>
    <w:rsid w:val="430138B4"/>
    <w:rsid w:val="43C567DC"/>
    <w:rsid w:val="445B5963"/>
    <w:rsid w:val="45147B39"/>
    <w:rsid w:val="458C3E0E"/>
    <w:rsid w:val="46296340"/>
    <w:rsid w:val="46533DF8"/>
    <w:rsid w:val="469F0C21"/>
    <w:rsid w:val="47892B04"/>
    <w:rsid w:val="48B31F4C"/>
    <w:rsid w:val="4ADD555D"/>
    <w:rsid w:val="4BE8155C"/>
    <w:rsid w:val="4C1C3959"/>
    <w:rsid w:val="4C2F2BF9"/>
    <w:rsid w:val="4C3F1FD8"/>
    <w:rsid w:val="4C7402D7"/>
    <w:rsid w:val="4CC07470"/>
    <w:rsid w:val="4CD14D5B"/>
    <w:rsid w:val="4DB149AB"/>
    <w:rsid w:val="4E1C6A7D"/>
    <w:rsid w:val="4E6B2485"/>
    <w:rsid w:val="4E934CD5"/>
    <w:rsid w:val="4EB51952"/>
    <w:rsid w:val="4F0F1D98"/>
    <w:rsid w:val="4F5B16DF"/>
    <w:rsid w:val="4FC32926"/>
    <w:rsid w:val="50893010"/>
    <w:rsid w:val="50C629BD"/>
    <w:rsid w:val="51414A79"/>
    <w:rsid w:val="521A1908"/>
    <w:rsid w:val="52750575"/>
    <w:rsid w:val="52852FDC"/>
    <w:rsid w:val="52A02B8A"/>
    <w:rsid w:val="537E3877"/>
    <w:rsid w:val="53A51568"/>
    <w:rsid w:val="53E41FD5"/>
    <w:rsid w:val="54BC281B"/>
    <w:rsid w:val="55F3797D"/>
    <w:rsid w:val="560C3968"/>
    <w:rsid w:val="567700BF"/>
    <w:rsid w:val="58335797"/>
    <w:rsid w:val="586C7175"/>
    <w:rsid w:val="594E5020"/>
    <w:rsid w:val="595230CC"/>
    <w:rsid w:val="596E52BC"/>
    <w:rsid w:val="5977293B"/>
    <w:rsid w:val="599577DA"/>
    <w:rsid w:val="59A939E4"/>
    <w:rsid w:val="5A1170CB"/>
    <w:rsid w:val="5A234D01"/>
    <w:rsid w:val="5A927FE3"/>
    <w:rsid w:val="5B754646"/>
    <w:rsid w:val="5B784264"/>
    <w:rsid w:val="5C54018E"/>
    <w:rsid w:val="5CAD7B14"/>
    <w:rsid w:val="5CD61DA3"/>
    <w:rsid w:val="5D4349C4"/>
    <w:rsid w:val="5D564872"/>
    <w:rsid w:val="5DD24B41"/>
    <w:rsid w:val="5DF11B73"/>
    <w:rsid w:val="5DFB1CB5"/>
    <w:rsid w:val="5DFB7708"/>
    <w:rsid w:val="5E1B34D6"/>
    <w:rsid w:val="5E752A1D"/>
    <w:rsid w:val="5E993875"/>
    <w:rsid w:val="5EA41F39"/>
    <w:rsid w:val="5EBC4B71"/>
    <w:rsid w:val="5EDC5A52"/>
    <w:rsid w:val="5EF96D2C"/>
    <w:rsid w:val="5F7B0C57"/>
    <w:rsid w:val="5FDC3DAA"/>
    <w:rsid w:val="5FFA0EB2"/>
    <w:rsid w:val="603A75B9"/>
    <w:rsid w:val="60EA7FB6"/>
    <w:rsid w:val="60F35D18"/>
    <w:rsid w:val="61A26AFE"/>
    <w:rsid w:val="61B704F6"/>
    <w:rsid w:val="61C478B4"/>
    <w:rsid w:val="61E85D4F"/>
    <w:rsid w:val="6228620F"/>
    <w:rsid w:val="62AC3C8A"/>
    <w:rsid w:val="639F0232"/>
    <w:rsid w:val="63F2166B"/>
    <w:rsid w:val="640A0B1B"/>
    <w:rsid w:val="642968F1"/>
    <w:rsid w:val="650F06E1"/>
    <w:rsid w:val="653E7D88"/>
    <w:rsid w:val="664039A8"/>
    <w:rsid w:val="66480B1F"/>
    <w:rsid w:val="672353B5"/>
    <w:rsid w:val="69924715"/>
    <w:rsid w:val="69950BAB"/>
    <w:rsid w:val="69B30902"/>
    <w:rsid w:val="69EB6234"/>
    <w:rsid w:val="69F0168D"/>
    <w:rsid w:val="6A174F6A"/>
    <w:rsid w:val="6B307840"/>
    <w:rsid w:val="6BE23B37"/>
    <w:rsid w:val="6C0D12BA"/>
    <w:rsid w:val="6CC546A9"/>
    <w:rsid w:val="6D0002DD"/>
    <w:rsid w:val="6D6F2D35"/>
    <w:rsid w:val="6DFC60FE"/>
    <w:rsid w:val="6EC72D27"/>
    <w:rsid w:val="6EE7003A"/>
    <w:rsid w:val="6F353174"/>
    <w:rsid w:val="6F912C4C"/>
    <w:rsid w:val="6FA4142A"/>
    <w:rsid w:val="6FDF1DC6"/>
    <w:rsid w:val="6FED45F5"/>
    <w:rsid w:val="7045205D"/>
    <w:rsid w:val="70D22618"/>
    <w:rsid w:val="711A5852"/>
    <w:rsid w:val="71642E43"/>
    <w:rsid w:val="71674FF2"/>
    <w:rsid w:val="72413DFE"/>
    <w:rsid w:val="72B062CA"/>
    <w:rsid w:val="732F2878"/>
    <w:rsid w:val="73510D05"/>
    <w:rsid w:val="73516B87"/>
    <w:rsid w:val="738B44BF"/>
    <w:rsid w:val="73AF181E"/>
    <w:rsid w:val="73DD0FC1"/>
    <w:rsid w:val="73EC039E"/>
    <w:rsid w:val="74070C97"/>
    <w:rsid w:val="74453923"/>
    <w:rsid w:val="745F0588"/>
    <w:rsid w:val="75236BE6"/>
    <w:rsid w:val="756816F7"/>
    <w:rsid w:val="75795371"/>
    <w:rsid w:val="76387E41"/>
    <w:rsid w:val="76450454"/>
    <w:rsid w:val="76650ABC"/>
    <w:rsid w:val="7697443C"/>
    <w:rsid w:val="77783520"/>
    <w:rsid w:val="78211994"/>
    <w:rsid w:val="786B3E4C"/>
    <w:rsid w:val="787838C5"/>
    <w:rsid w:val="788527BD"/>
    <w:rsid w:val="78884475"/>
    <w:rsid w:val="792A29BE"/>
    <w:rsid w:val="79717709"/>
    <w:rsid w:val="7A125922"/>
    <w:rsid w:val="7A371D4E"/>
    <w:rsid w:val="7A930FA5"/>
    <w:rsid w:val="7C407EF3"/>
    <w:rsid w:val="7C434CFC"/>
    <w:rsid w:val="7D670785"/>
    <w:rsid w:val="7DE71EFF"/>
    <w:rsid w:val="7E631BE8"/>
    <w:rsid w:val="7E643382"/>
    <w:rsid w:val="7EBB4395"/>
    <w:rsid w:val="7ED83A0B"/>
    <w:rsid w:val="7F8521FE"/>
    <w:rsid w:val="7FA272BF"/>
    <w:rsid w:val="7FDB69C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43"/>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unhideWhenUsed/>
    <w:qFormat/>
    <w:uiPriority w:val="0"/>
    <w:pPr>
      <w:keepNext/>
      <w:keepLines/>
      <w:spacing w:before="260" w:after="260" w:line="413" w:lineRule="auto"/>
      <w:outlineLvl w:val="2"/>
    </w:pPr>
    <w:rPr>
      <w:b/>
      <w:sz w:val="32"/>
    </w:rPr>
  </w:style>
  <w:style w:type="paragraph" w:styleId="7">
    <w:name w:val="heading 4"/>
    <w:basedOn w:val="1"/>
    <w:next w:val="1"/>
    <w:unhideWhenUsed/>
    <w:qFormat/>
    <w:uiPriority w:val="0"/>
    <w:pPr>
      <w:spacing w:before="66"/>
      <w:ind w:left="775"/>
      <w:outlineLvl w:val="3"/>
    </w:pPr>
    <w:rPr>
      <w:rFonts w:ascii="宋体" w:hAnsi="宋体" w:eastAsia="宋体" w:cs="宋体"/>
      <w:b/>
      <w:bCs/>
      <w:sz w:val="24"/>
      <w:szCs w:val="24"/>
      <w:lang w:val="zh-CN" w:bidi="zh-CN"/>
    </w:rPr>
  </w:style>
  <w:style w:type="paragraph" w:styleId="8">
    <w:name w:val="heading 5"/>
    <w:basedOn w:val="1"/>
    <w:next w:val="1"/>
    <w:unhideWhenUsed/>
    <w:qFormat/>
    <w:uiPriority w:val="0"/>
    <w:pPr>
      <w:spacing w:before="189"/>
      <w:ind w:left="292" w:right="451" w:firstLine="480"/>
      <w:outlineLvl w:val="4"/>
    </w:pPr>
    <w:rPr>
      <w:rFonts w:ascii="宋体" w:hAnsi="宋体" w:eastAsia="宋体" w:cs="宋体"/>
      <w:sz w:val="24"/>
      <w:szCs w:val="24"/>
      <w:lang w:val="zh-CN" w:bidi="zh-CN"/>
    </w:rPr>
  </w:style>
  <w:style w:type="paragraph" w:styleId="9">
    <w:name w:val="heading 6"/>
    <w:basedOn w:val="1"/>
    <w:next w:val="1"/>
    <w:unhideWhenUsed/>
    <w:qFormat/>
    <w:uiPriority w:val="0"/>
    <w:pPr>
      <w:ind w:left="113"/>
      <w:outlineLvl w:val="5"/>
    </w:pPr>
    <w:rPr>
      <w:rFonts w:ascii="宋体" w:hAnsi="宋体" w:eastAsia="宋体" w:cs="宋体"/>
      <w:b/>
      <w:bCs/>
      <w:szCs w:val="21"/>
      <w:lang w:val="zh-CN" w:bidi="zh-CN"/>
    </w:rPr>
  </w:style>
  <w:style w:type="character" w:default="1" w:styleId="32">
    <w:name w:val="Default Paragraph Font"/>
    <w:semiHidden/>
    <w:unhideWhenUsed/>
    <w:uiPriority w:val="1"/>
  </w:style>
  <w:style w:type="table" w:default="1" w:styleId="3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50"/>
    <w:qFormat/>
    <w:uiPriority w:val="0"/>
    <w:pPr>
      <w:spacing w:after="120"/>
      <w:ind w:left="420" w:leftChars="200" w:firstLine="420" w:firstLineChars="200"/>
    </w:pPr>
    <w:rPr>
      <w:rFonts w:asciiTheme="minorHAnsi" w:hAnsiTheme="minorHAnsi" w:eastAsiaTheme="minorEastAsia" w:cstheme="minorBidi"/>
      <w:sz w:val="21"/>
      <w:szCs w:val="22"/>
    </w:rPr>
  </w:style>
  <w:style w:type="paragraph" w:styleId="3">
    <w:name w:val="Body Text Indent"/>
    <w:basedOn w:val="1"/>
    <w:link w:val="49"/>
    <w:qFormat/>
    <w:uiPriority w:val="0"/>
    <w:pPr>
      <w:ind w:firstLine="480"/>
    </w:pPr>
    <w:rPr>
      <w:rFonts w:ascii="Times New Roman" w:hAnsi="Times New Roman" w:eastAsia="宋体" w:cs="Times New Roman"/>
      <w:sz w:val="24"/>
      <w:szCs w:val="20"/>
    </w:rPr>
  </w:style>
  <w:style w:type="paragraph" w:styleId="10">
    <w:name w:val="toc 7"/>
    <w:basedOn w:val="1"/>
    <w:next w:val="1"/>
    <w:qFormat/>
    <w:uiPriority w:val="0"/>
    <w:pPr>
      <w:ind w:left="2520" w:leftChars="1200"/>
    </w:pPr>
  </w:style>
  <w:style w:type="paragraph" w:styleId="11">
    <w:name w:val="annotation text"/>
    <w:basedOn w:val="1"/>
    <w:link w:val="59"/>
    <w:qFormat/>
    <w:uiPriority w:val="0"/>
    <w:pPr>
      <w:jc w:val="left"/>
    </w:pPr>
  </w:style>
  <w:style w:type="paragraph" w:styleId="12">
    <w:name w:val="Body Text"/>
    <w:basedOn w:val="1"/>
    <w:qFormat/>
    <w:uiPriority w:val="0"/>
    <w:pPr>
      <w:spacing w:after="120"/>
    </w:pPr>
  </w:style>
  <w:style w:type="paragraph" w:styleId="13">
    <w:name w:val="toc 5"/>
    <w:basedOn w:val="1"/>
    <w:next w:val="1"/>
    <w:qFormat/>
    <w:uiPriority w:val="0"/>
    <w:pPr>
      <w:ind w:left="1680" w:leftChars="800"/>
    </w:pPr>
  </w:style>
  <w:style w:type="paragraph" w:styleId="14">
    <w:name w:val="toc 3"/>
    <w:basedOn w:val="1"/>
    <w:next w:val="1"/>
    <w:qFormat/>
    <w:uiPriority w:val="0"/>
    <w:pPr>
      <w:ind w:left="840" w:leftChars="400"/>
    </w:pPr>
  </w:style>
  <w:style w:type="paragraph" w:styleId="15">
    <w:name w:val="Plain Text"/>
    <w:basedOn w:val="1"/>
    <w:link w:val="51"/>
    <w:qFormat/>
    <w:uiPriority w:val="0"/>
    <w:rPr>
      <w:rFonts w:ascii="宋体" w:hAnsi="Courier New" w:eastAsia="宋体" w:cs="Courier New"/>
      <w:szCs w:val="21"/>
    </w:rPr>
  </w:style>
  <w:style w:type="paragraph" w:styleId="16">
    <w:name w:val="toc 8"/>
    <w:basedOn w:val="1"/>
    <w:next w:val="1"/>
    <w:qFormat/>
    <w:uiPriority w:val="0"/>
    <w:pPr>
      <w:ind w:left="2940" w:leftChars="1400"/>
    </w:pPr>
  </w:style>
  <w:style w:type="paragraph" w:styleId="17">
    <w:name w:val="Date"/>
    <w:basedOn w:val="1"/>
    <w:next w:val="1"/>
    <w:link w:val="64"/>
    <w:qFormat/>
    <w:uiPriority w:val="0"/>
    <w:pPr>
      <w:ind w:left="100" w:leftChars="2500"/>
    </w:pPr>
  </w:style>
  <w:style w:type="paragraph" w:styleId="18">
    <w:name w:val="Body Text Indent 2"/>
    <w:basedOn w:val="1"/>
    <w:qFormat/>
    <w:uiPriority w:val="0"/>
    <w:pPr>
      <w:ind w:left="-178"/>
    </w:pPr>
    <w:rPr>
      <w:rFonts w:ascii="宋体" w:hAnsi="宋体"/>
      <w:sz w:val="28"/>
    </w:rPr>
  </w:style>
  <w:style w:type="paragraph" w:styleId="19">
    <w:name w:val="Balloon Text"/>
    <w:basedOn w:val="1"/>
    <w:link w:val="40"/>
    <w:qFormat/>
    <w:uiPriority w:val="0"/>
    <w:rPr>
      <w:sz w:val="18"/>
      <w:szCs w:val="18"/>
    </w:rPr>
  </w:style>
  <w:style w:type="paragraph" w:styleId="20">
    <w:name w:val="footer"/>
    <w:basedOn w:val="1"/>
    <w:qFormat/>
    <w:uiPriority w:val="99"/>
    <w:pPr>
      <w:tabs>
        <w:tab w:val="center" w:pos="4153"/>
        <w:tab w:val="right" w:pos="8306"/>
      </w:tabs>
      <w:snapToGrid w:val="0"/>
      <w:jc w:val="left"/>
    </w:pPr>
    <w:rPr>
      <w:sz w:val="18"/>
    </w:rPr>
  </w:style>
  <w:style w:type="paragraph" w:styleId="21">
    <w:name w:val="header"/>
    <w:basedOn w:val="1"/>
    <w:link w:val="44"/>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toc 4"/>
    <w:basedOn w:val="1"/>
    <w:next w:val="1"/>
    <w:qFormat/>
    <w:uiPriority w:val="0"/>
    <w:pPr>
      <w:ind w:left="1260" w:leftChars="600"/>
    </w:pPr>
  </w:style>
  <w:style w:type="paragraph" w:styleId="24">
    <w:name w:val="toc 6"/>
    <w:basedOn w:val="1"/>
    <w:next w:val="1"/>
    <w:qFormat/>
    <w:uiPriority w:val="0"/>
    <w:pPr>
      <w:ind w:left="2100" w:leftChars="1000"/>
    </w:pPr>
  </w:style>
  <w:style w:type="paragraph" w:styleId="25">
    <w:name w:val="toc 2"/>
    <w:basedOn w:val="1"/>
    <w:next w:val="1"/>
    <w:qFormat/>
    <w:uiPriority w:val="0"/>
    <w:pPr>
      <w:ind w:left="420" w:leftChars="200"/>
    </w:pPr>
  </w:style>
  <w:style w:type="paragraph" w:styleId="26">
    <w:name w:val="toc 9"/>
    <w:basedOn w:val="1"/>
    <w:next w:val="1"/>
    <w:qFormat/>
    <w:uiPriority w:val="0"/>
    <w:pPr>
      <w:ind w:left="3360" w:leftChars="1600"/>
    </w:pPr>
  </w:style>
  <w:style w:type="paragraph" w:styleId="27">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styleId="28">
    <w:name w:val="Title"/>
    <w:basedOn w:val="1"/>
    <w:next w:val="1"/>
    <w:link w:val="52"/>
    <w:qFormat/>
    <w:uiPriority w:val="0"/>
    <w:pPr>
      <w:spacing w:before="240" w:after="60" w:line="480" w:lineRule="auto"/>
      <w:jc w:val="center"/>
      <w:outlineLvl w:val="0"/>
    </w:pPr>
    <w:rPr>
      <w:rFonts w:ascii="Cambria" w:hAnsi="Cambria" w:eastAsia="黑体" w:cs="Times New Roman"/>
      <w:b/>
      <w:bCs/>
      <w:kern w:val="0"/>
      <w:sz w:val="52"/>
      <w:szCs w:val="32"/>
    </w:rPr>
  </w:style>
  <w:style w:type="paragraph" w:styleId="29">
    <w:name w:val="annotation subject"/>
    <w:basedOn w:val="11"/>
    <w:next w:val="11"/>
    <w:link w:val="60"/>
    <w:semiHidden/>
    <w:unhideWhenUsed/>
    <w:qFormat/>
    <w:uiPriority w:val="0"/>
    <w:rPr>
      <w:b/>
      <w:bCs/>
    </w:rPr>
  </w:style>
  <w:style w:type="table" w:styleId="31">
    <w:name w:val="Table Grid"/>
    <w:basedOn w:val="30"/>
    <w:unhideWhenUsed/>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page number"/>
    <w:basedOn w:val="32"/>
    <w:qFormat/>
    <w:uiPriority w:val="0"/>
  </w:style>
  <w:style w:type="character" w:styleId="34">
    <w:name w:val="FollowedHyperlink"/>
    <w:basedOn w:val="32"/>
    <w:qFormat/>
    <w:uiPriority w:val="0"/>
    <w:rPr>
      <w:color w:val="800080"/>
      <w:u w:val="single"/>
    </w:rPr>
  </w:style>
  <w:style w:type="character" w:styleId="35">
    <w:name w:val="Hyperlink"/>
    <w:basedOn w:val="32"/>
    <w:qFormat/>
    <w:uiPriority w:val="0"/>
    <w:rPr>
      <w:color w:val="0563C1" w:themeColor="hyperlink"/>
      <w:u w:val="single"/>
      <w14:textFill>
        <w14:solidFill>
          <w14:schemeClr w14:val="hlink"/>
        </w14:solidFill>
      </w14:textFill>
    </w:rPr>
  </w:style>
  <w:style w:type="character" w:styleId="36">
    <w:name w:val="annotation reference"/>
    <w:basedOn w:val="32"/>
    <w:qFormat/>
    <w:uiPriority w:val="0"/>
    <w:rPr>
      <w:sz w:val="21"/>
      <w:szCs w:val="21"/>
    </w:rPr>
  </w:style>
  <w:style w:type="paragraph" w:customStyle="1" w:styleId="37">
    <w:name w:val="列出段落1"/>
    <w:basedOn w:val="1"/>
    <w:qFormat/>
    <w:uiPriority w:val="34"/>
    <w:pPr>
      <w:ind w:firstLine="420" w:firstLineChars="200"/>
    </w:pPr>
    <w:rPr>
      <w:rFonts w:ascii="Calibri" w:hAnsi="Calibri" w:eastAsia="宋体" w:cs="Calibri"/>
      <w:szCs w:val="21"/>
    </w:rPr>
  </w:style>
  <w:style w:type="paragraph" w:customStyle="1" w:styleId="38">
    <w:name w:val="a"/>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9">
    <w:name w:val="列出段落2"/>
    <w:basedOn w:val="1"/>
    <w:qFormat/>
    <w:uiPriority w:val="99"/>
    <w:pPr>
      <w:ind w:firstLine="420" w:firstLineChars="200"/>
    </w:pPr>
  </w:style>
  <w:style w:type="character" w:customStyle="1" w:styleId="40">
    <w:name w:val="批注框文本 字符"/>
    <w:basedOn w:val="32"/>
    <w:link w:val="19"/>
    <w:qFormat/>
    <w:uiPriority w:val="0"/>
    <w:rPr>
      <w:rFonts w:asciiTheme="minorHAnsi" w:hAnsiTheme="minorHAnsi" w:eastAsiaTheme="minorEastAsia" w:cstheme="minorBidi"/>
      <w:kern w:val="2"/>
      <w:sz w:val="18"/>
      <w:szCs w:val="18"/>
    </w:rPr>
  </w:style>
  <w:style w:type="paragraph" w:customStyle="1" w:styleId="41">
    <w:name w:val="Table Paragraph"/>
    <w:basedOn w:val="1"/>
    <w:qFormat/>
    <w:uiPriority w:val="1"/>
    <w:rPr>
      <w:rFonts w:ascii="宋体" w:hAnsi="宋体" w:eastAsia="宋体" w:cs="宋体"/>
      <w:lang w:val="zh-CN" w:bidi="zh-CN"/>
    </w:rPr>
  </w:style>
  <w:style w:type="paragraph" w:customStyle="1" w:styleId="42">
    <w:name w:val="列出段落3"/>
    <w:basedOn w:val="1"/>
    <w:qFormat/>
    <w:uiPriority w:val="1"/>
    <w:pPr>
      <w:ind w:left="113" w:firstLine="420"/>
    </w:pPr>
    <w:rPr>
      <w:rFonts w:ascii="宋体" w:hAnsi="宋体" w:eastAsia="宋体" w:cs="宋体"/>
      <w:lang w:val="zh-CN" w:bidi="zh-CN"/>
    </w:rPr>
  </w:style>
  <w:style w:type="character" w:customStyle="1" w:styleId="43">
    <w:name w:val="标题 2 字符"/>
    <w:link w:val="5"/>
    <w:qFormat/>
    <w:uiPriority w:val="0"/>
    <w:rPr>
      <w:rFonts w:asciiTheme="majorHAnsi" w:hAnsiTheme="majorHAnsi" w:eastAsiaTheme="majorEastAsia" w:cstheme="majorBidi"/>
      <w:b/>
      <w:bCs/>
      <w:sz w:val="32"/>
      <w:szCs w:val="32"/>
    </w:rPr>
  </w:style>
  <w:style w:type="character" w:customStyle="1" w:styleId="44">
    <w:name w:val="页眉 字符"/>
    <w:basedOn w:val="32"/>
    <w:link w:val="21"/>
    <w:qFormat/>
    <w:uiPriority w:val="0"/>
    <w:rPr>
      <w:rFonts w:asciiTheme="minorHAnsi" w:hAnsiTheme="minorHAnsi" w:eastAsiaTheme="minorEastAsia" w:cstheme="minorBidi"/>
      <w:kern w:val="2"/>
      <w:sz w:val="18"/>
      <w:szCs w:val="18"/>
    </w:rPr>
  </w:style>
  <w:style w:type="character" w:customStyle="1" w:styleId="45">
    <w:name w:val="click"/>
    <w:basedOn w:val="32"/>
    <w:qFormat/>
    <w:uiPriority w:val="0"/>
  </w:style>
  <w:style w:type="character" w:customStyle="1" w:styleId="46">
    <w:name w:val="click1"/>
    <w:basedOn w:val="32"/>
    <w:qFormat/>
    <w:uiPriority w:val="0"/>
  </w:style>
  <w:style w:type="paragraph" w:customStyle="1" w:styleId="47">
    <w:name w:val="正文2"/>
    <w:qFormat/>
    <w:uiPriority w:val="0"/>
    <w:rPr>
      <w:rFonts w:ascii="Times New Roman" w:hAnsi="Times New Roman" w:eastAsia="Times New Roman" w:cs="Times New Roman"/>
      <w:sz w:val="24"/>
      <w:szCs w:val="24"/>
      <w:lang w:val="en-US" w:eastAsia="zh-CN" w:bidi="ar-SA"/>
    </w:rPr>
  </w:style>
  <w:style w:type="paragraph" w:customStyle="1" w:styleId="48">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9">
    <w:name w:val="正文文本缩进 字符"/>
    <w:basedOn w:val="32"/>
    <w:link w:val="3"/>
    <w:qFormat/>
    <w:uiPriority w:val="0"/>
    <w:rPr>
      <w:kern w:val="2"/>
      <w:sz w:val="24"/>
    </w:rPr>
  </w:style>
  <w:style w:type="character" w:customStyle="1" w:styleId="50">
    <w:name w:val="正文文本首行缩进 2 字符"/>
    <w:basedOn w:val="49"/>
    <w:link w:val="2"/>
    <w:qFormat/>
    <w:uiPriority w:val="0"/>
    <w:rPr>
      <w:kern w:val="2"/>
      <w:sz w:val="24"/>
    </w:rPr>
  </w:style>
  <w:style w:type="character" w:customStyle="1" w:styleId="51">
    <w:name w:val="纯文本 字符"/>
    <w:basedOn w:val="32"/>
    <w:link w:val="15"/>
    <w:qFormat/>
    <w:uiPriority w:val="0"/>
    <w:rPr>
      <w:rFonts w:ascii="宋体" w:hAnsi="Courier New" w:cs="Courier New"/>
      <w:kern w:val="2"/>
      <w:sz w:val="21"/>
      <w:szCs w:val="21"/>
    </w:rPr>
  </w:style>
  <w:style w:type="character" w:customStyle="1" w:styleId="52">
    <w:name w:val="标题 字符"/>
    <w:basedOn w:val="32"/>
    <w:link w:val="28"/>
    <w:qFormat/>
    <w:uiPriority w:val="0"/>
    <w:rPr>
      <w:rFonts w:ascii="Cambria" w:hAnsi="Cambria" w:eastAsia="黑体"/>
      <w:b/>
      <w:bCs/>
      <w:sz w:val="52"/>
      <w:szCs w:val="32"/>
    </w:rPr>
  </w:style>
  <w:style w:type="paragraph" w:customStyle="1" w:styleId="53">
    <w:name w:val="Char1"/>
    <w:basedOn w:val="1"/>
    <w:qFormat/>
    <w:uiPriority w:val="0"/>
    <w:rPr>
      <w:rFonts w:ascii="Times New Roman" w:hAnsi="Times New Roman" w:eastAsia="宋体" w:cs="Times New Roman"/>
      <w:kern w:val="0"/>
      <w:sz w:val="20"/>
      <w:szCs w:val="21"/>
    </w:rPr>
  </w:style>
  <w:style w:type="paragraph" w:customStyle="1" w:styleId="54">
    <w:name w:val="_Style 8"/>
    <w:semiHidden/>
    <w:qFormat/>
    <w:uiPriority w:val="99"/>
    <w:rPr>
      <w:rFonts w:ascii="Times New Roman" w:hAnsi="Times New Roman" w:eastAsia="宋体" w:cs="Times New Roman"/>
      <w:kern w:val="2"/>
      <w:sz w:val="21"/>
      <w:szCs w:val="24"/>
      <w:lang w:val="en-US" w:eastAsia="zh-CN" w:bidi="ar-SA"/>
    </w:rPr>
  </w:style>
  <w:style w:type="paragraph" w:customStyle="1" w:styleId="55">
    <w:name w:val="样式1"/>
    <w:basedOn w:val="1"/>
    <w:qFormat/>
    <w:uiPriority w:val="0"/>
    <w:pPr>
      <w:widowControl/>
      <w:spacing w:line="360" w:lineRule="auto"/>
      <w:jc w:val="left"/>
    </w:pPr>
    <w:rPr>
      <w:rFonts w:ascii="仿宋_GB2312" w:hAnsi="宋体" w:eastAsia="仿宋_GB2312" w:cs="Times New Roman"/>
      <w:b/>
      <w:bCs/>
      <w:kern w:val="0"/>
      <w:sz w:val="20"/>
      <w:szCs w:val="21"/>
    </w:rPr>
  </w:style>
  <w:style w:type="paragraph" w:styleId="56">
    <w:name w:val="List Paragraph"/>
    <w:basedOn w:val="1"/>
    <w:qFormat/>
    <w:uiPriority w:val="34"/>
    <w:pPr>
      <w:ind w:firstLine="420" w:firstLineChars="200"/>
    </w:pPr>
    <w:rPr>
      <w:rFonts w:ascii="Calibri" w:hAnsi="Calibri" w:eastAsia="宋体" w:cs="Times New Roman"/>
    </w:rPr>
  </w:style>
  <w:style w:type="paragraph" w:customStyle="1" w:styleId="57">
    <w:name w:val="其他"/>
    <w:basedOn w:val="1"/>
    <w:qFormat/>
    <w:uiPriority w:val="0"/>
    <w:pPr>
      <w:spacing w:line="425" w:lineRule="auto"/>
      <w:ind w:firstLine="400"/>
    </w:pPr>
    <w:rPr>
      <w:rFonts w:ascii="宋体" w:hAnsi="宋体" w:eastAsia="宋体" w:cs="宋体"/>
      <w:sz w:val="28"/>
      <w:szCs w:val="28"/>
      <w:lang w:val="zh-CN" w:bidi="zh-CN"/>
    </w:rPr>
  </w:style>
  <w:style w:type="paragraph" w:customStyle="1" w:styleId="58">
    <w:name w:val="修订2"/>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59">
    <w:name w:val="批注文字 字符"/>
    <w:basedOn w:val="32"/>
    <w:link w:val="11"/>
    <w:qFormat/>
    <w:uiPriority w:val="0"/>
    <w:rPr>
      <w:rFonts w:asciiTheme="minorHAnsi" w:hAnsiTheme="minorHAnsi" w:eastAsiaTheme="minorEastAsia" w:cstheme="minorBidi"/>
      <w:kern w:val="2"/>
      <w:sz w:val="21"/>
      <w:szCs w:val="22"/>
    </w:rPr>
  </w:style>
  <w:style w:type="character" w:customStyle="1" w:styleId="60">
    <w:name w:val="批注主题 字符"/>
    <w:basedOn w:val="59"/>
    <w:link w:val="29"/>
    <w:semiHidden/>
    <w:qFormat/>
    <w:uiPriority w:val="0"/>
    <w:rPr>
      <w:rFonts w:asciiTheme="minorHAnsi" w:hAnsiTheme="minorHAnsi" w:eastAsiaTheme="minorEastAsia" w:cstheme="minorBidi"/>
      <w:b/>
      <w:bCs/>
      <w:kern w:val="2"/>
      <w:sz w:val="21"/>
      <w:szCs w:val="22"/>
    </w:rPr>
  </w:style>
  <w:style w:type="paragraph" w:customStyle="1" w:styleId="61">
    <w:name w:val="Other|1"/>
    <w:basedOn w:val="1"/>
    <w:qFormat/>
    <w:uiPriority w:val="0"/>
    <w:pPr>
      <w:spacing w:line="415" w:lineRule="auto"/>
      <w:ind w:firstLine="400"/>
    </w:pPr>
    <w:rPr>
      <w:rFonts w:ascii="宋体" w:hAnsi="宋体" w:eastAsia="宋体" w:cs="宋体"/>
      <w:sz w:val="22"/>
      <w:lang w:val="zh-TW" w:eastAsia="zh-TW" w:bidi="zh-TW"/>
    </w:rPr>
  </w:style>
  <w:style w:type="paragraph" w:customStyle="1" w:styleId="62">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63">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64">
    <w:name w:val="日期 字符"/>
    <w:basedOn w:val="32"/>
    <w:link w:val="17"/>
    <w:qFormat/>
    <w:uiPriority w:val="0"/>
    <w:rPr>
      <w:rFonts w:asciiTheme="minorHAnsi" w:hAnsiTheme="minorHAnsi" w:eastAsiaTheme="minorEastAsia" w:cstheme="minorBidi"/>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3E8681-5999-4B73-8841-C97300F97A0E}">
  <ds:schemaRefs/>
</ds:datastoreItem>
</file>

<file path=docProps/app.xml><?xml version="1.0" encoding="utf-8"?>
<Properties xmlns="http://schemas.openxmlformats.org/officeDocument/2006/extended-properties" xmlns:vt="http://schemas.openxmlformats.org/officeDocument/2006/docPropsVTypes">
  <Template>Normal</Template>
  <Company>成渝本部</Company>
  <Pages>38</Pages>
  <Words>12195</Words>
  <Characters>12983</Characters>
  <Lines>110</Lines>
  <Paragraphs>31</Paragraphs>
  <TotalTime>87</TotalTime>
  <ScaleCrop>false</ScaleCrop>
  <LinksUpToDate>false</LinksUpToDate>
  <CharactersWithSpaces>14373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2022-12-01T09:03:00Z</dcterms:created>
  <dc:creator>lili</dc:creator>
  <cp:lastModifiedBy>瘾</cp:lastModifiedBy>
  <cp:lastPrinted>2023-02-03T01:46:22Z</cp:lastPrinted>
  <dcterms:modified xsi:type="dcterms:W3CDTF">2023-02-03T02:05:12Z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80D1AF266C6243A5B0B16C4978ACE889</vt:lpwstr>
  </property>
</Properties>
</file>